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C" w:rsidRDefault="00B76ABC" w:rsidP="00E920CD">
      <w:pPr>
        <w:autoSpaceDE w:val="0"/>
        <w:autoSpaceDN w:val="0"/>
        <w:spacing w:line="560" w:lineRule="exact"/>
        <w:rPr>
          <w:rFonts w:ascii="楷体_GB2312" w:eastAsia="楷体_GB2312" w:cs="宋体"/>
          <w:kern w:val="0"/>
          <w:sz w:val="32"/>
          <w:szCs w:val="32"/>
        </w:rPr>
      </w:pPr>
      <w:r>
        <w:rPr>
          <w:rFonts w:ascii="楷体_GB2312" w:eastAsia="楷体_GB2312" w:cs="宋体" w:hint="eastAsia"/>
          <w:kern w:val="0"/>
          <w:sz w:val="32"/>
          <w:szCs w:val="32"/>
        </w:rPr>
        <w:t>永嘉县十六届人大一次会议文件（</w:t>
      </w:r>
      <w:r>
        <w:rPr>
          <w:rFonts w:ascii="楷体_GB2312" w:eastAsia="楷体_GB2312" w:cs="宋体"/>
          <w:kern w:val="0"/>
          <w:sz w:val="32"/>
          <w:szCs w:val="32"/>
        </w:rPr>
        <w:t>5</w:t>
      </w:r>
      <w:r>
        <w:rPr>
          <w:rFonts w:ascii="楷体_GB2312" w:eastAsia="楷体_GB2312" w:cs="宋体" w:hint="eastAsia"/>
          <w:kern w:val="0"/>
          <w:sz w:val="32"/>
          <w:szCs w:val="32"/>
        </w:rPr>
        <w:t>）</w:t>
      </w:r>
    </w:p>
    <w:p w:rsidR="00B76ABC" w:rsidRDefault="00B76ABC" w:rsidP="00E920CD">
      <w:pPr>
        <w:autoSpaceDE w:val="0"/>
        <w:autoSpaceDN w:val="0"/>
        <w:spacing w:line="560" w:lineRule="exact"/>
        <w:rPr>
          <w:rFonts w:ascii="楷体_GB2312" w:eastAsia="楷体_GB2312" w:cs="宋体"/>
          <w:kern w:val="0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永嘉县人民法院工作报告</w:t>
      </w:r>
    </w:p>
    <w:p w:rsidR="00B76ABC" w:rsidRPr="006926D8" w:rsidRDefault="00B76ABC" w:rsidP="006926D8">
      <w:pPr>
        <w:autoSpaceDE w:val="0"/>
        <w:autoSpaceDN w:val="0"/>
        <w:spacing w:line="560" w:lineRule="exact"/>
        <w:rPr>
          <w:rFonts w:ascii="楷体_GB2312" w:eastAsia="楷体_GB2312" w:cs="宋体"/>
          <w:kern w:val="0"/>
          <w:sz w:val="32"/>
          <w:szCs w:val="32"/>
        </w:rPr>
      </w:pPr>
    </w:p>
    <w:p w:rsidR="00B76ABC" w:rsidRDefault="00B76ABC" w:rsidP="006926D8">
      <w:pPr>
        <w:widowControl/>
        <w:spacing w:beforeLines="50" w:before="156" w:line="560" w:lineRule="exact"/>
        <w:ind w:leftChars="-257" w:left="-540" w:rightChars="-241" w:right="-506"/>
        <w:jc w:val="center"/>
        <w:rPr>
          <w:rFonts w:ascii="楷体_GB2312" w:eastAsia="楷体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2"/>
          <w:attr w:name="Day" w:val="19"/>
          <w:attr w:name="IsLunarDate" w:val="False"/>
          <w:attr w:name="IsROCDate" w:val="False"/>
        </w:smartTagPr>
        <w:r>
          <w:rPr>
            <w:rFonts w:ascii="楷体_GB2312" w:eastAsia="楷体_GB2312"/>
            <w:sz w:val="32"/>
            <w:szCs w:val="32"/>
          </w:rPr>
          <w:t>2017</w:t>
        </w:r>
        <w:r>
          <w:rPr>
            <w:rFonts w:ascii="楷体_GB2312" w:eastAsia="楷体_GB2312" w:hint="eastAsia"/>
            <w:sz w:val="32"/>
            <w:szCs w:val="32"/>
          </w:rPr>
          <w:t>年</w:t>
        </w:r>
        <w:r>
          <w:rPr>
            <w:rFonts w:ascii="楷体_GB2312" w:eastAsia="楷体_GB2312"/>
            <w:sz w:val="32"/>
            <w:szCs w:val="32"/>
          </w:rPr>
          <w:t>2</w:t>
        </w:r>
        <w:r>
          <w:rPr>
            <w:rFonts w:ascii="楷体_GB2312" w:eastAsia="楷体_GB2312" w:hint="eastAsia"/>
            <w:sz w:val="32"/>
            <w:szCs w:val="32"/>
          </w:rPr>
          <w:t>月</w:t>
        </w:r>
        <w:r>
          <w:rPr>
            <w:rFonts w:ascii="楷体_GB2312" w:eastAsia="楷体_GB2312"/>
            <w:sz w:val="32"/>
            <w:szCs w:val="32"/>
          </w:rPr>
          <w:t>19</w:t>
        </w:r>
        <w:r>
          <w:rPr>
            <w:rFonts w:ascii="楷体_GB2312" w:eastAsia="楷体_GB2312" w:hint="eastAsia"/>
            <w:sz w:val="32"/>
            <w:szCs w:val="32"/>
          </w:rPr>
          <w:t>日</w:t>
        </w:r>
      </w:smartTag>
      <w:r>
        <w:rPr>
          <w:rFonts w:ascii="楷体_GB2312" w:eastAsia="楷体_GB2312" w:hint="eastAsia"/>
          <w:sz w:val="32"/>
          <w:szCs w:val="32"/>
        </w:rPr>
        <w:t>在永嘉县第十六届人民代表大会第一次会议上</w:t>
      </w:r>
    </w:p>
    <w:p w:rsidR="00B76ABC" w:rsidRDefault="00B76ABC" w:rsidP="00C06962">
      <w:pPr>
        <w:widowControl/>
        <w:spacing w:beforeLines="50" w:before="156" w:line="560" w:lineRule="exact"/>
        <w:jc w:val="center"/>
        <w:rPr>
          <w:rFonts w:eastAsia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永嘉县人民法院院长</w:t>
      </w:r>
      <w:r>
        <w:rPr>
          <w:rFonts w:ascii="楷体_GB2312" w:eastAsia="楷体_GB2312"/>
          <w:sz w:val="32"/>
          <w:szCs w:val="32"/>
        </w:rPr>
        <w:t xml:space="preserve">  </w:t>
      </w:r>
      <w:r w:rsidRPr="00E920CD">
        <w:rPr>
          <w:rFonts w:ascii="楷体_GB2312" w:eastAsia="楷体_GB2312" w:hint="eastAsia"/>
          <w:sz w:val="36"/>
          <w:szCs w:val="36"/>
        </w:rPr>
        <w:t>胡丕敢</w:t>
      </w:r>
    </w:p>
    <w:p w:rsidR="00B76ABC" w:rsidRPr="006926D8" w:rsidRDefault="00B76ABC" w:rsidP="006926D8">
      <w:pPr>
        <w:autoSpaceDE w:val="0"/>
        <w:autoSpaceDN w:val="0"/>
        <w:spacing w:line="560" w:lineRule="exact"/>
        <w:rPr>
          <w:rFonts w:ascii="楷体_GB2312" w:eastAsia="楷体_GB2312" w:cs="宋体"/>
          <w:kern w:val="0"/>
          <w:sz w:val="32"/>
          <w:szCs w:val="32"/>
        </w:rPr>
      </w:pPr>
    </w:p>
    <w:p w:rsidR="00B76ABC" w:rsidRPr="0077576E" w:rsidRDefault="00B76ABC" w:rsidP="00E920C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18"/>
        </w:rPr>
      </w:pPr>
      <w:r w:rsidRPr="0077576E">
        <w:rPr>
          <w:rFonts w:ascii="仿宋_GB2312" w:eastAsia="仿宋_GB2312" w:hint="eastAsia"/>
          <w:sz w:val="32"/>
          <w:szCs w:val="18"/>
        </w:rPr>
        <w:t>各位代表：</w:t>
      </w:r>
    </w:p>
    <w:p w:rsidR="00B76ABC" w:rsidRDefault="00B76ABC" w:rsidP="006926D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18"/>
        </w:rPr>
      </w:pPr>
      <w:r>
        <w:rPr>
          <w:rFonts w:ascii="仿宋_GB2312" w:eastAsia="仿宋_GB2312" w:hint="eastAsia"/>
          <w:sz w:val="32"/>
        </w:rPr>
        <w:t>现在，</w:t>
      </w:r>
      <w:r>
        <w:rPr>
          <w:rFonts w:ascii="仿宋_GB2312" w:eastAsia="仿宋_GB2312" w:hint="eastAsia"/>
          <w:sz w:val="32"/>
          <w:szCs w:val="18"/>
        </w:rPr>
        <w:t>我代表县人民法院向大会报告</w:t>
      </w:r>
      <w:r>
        <w:rPr>
          <w:rFonts w:ascii="仿宋_GB2312" w:eastAsia="仿宋_GB2312" w:hint="eastAsia"/>
          <w:sz w:val="32"/>
          <w:szCs w:val="21"/>
        </w:rPr>
        <w:t>工作</w:t>
      </w:r>
      <w:r>
        <w:rPr>
          <w:rFonts w:ascii="仿宋_GB2312" w:eastAsia="仿宋_GB2312" w:hint="eastAsia"/>
          <w:sz w:val="32"/>
          <w:szCs w:val="18"/>
        </w:rPr>
        <w:t>，请予审议，并请县政协委员和其他列席人员提出意见。</w:t>
      </w:r>
    </w:p>
    <w:p w:rsidR="00B76ABC" w:rsidRPr="006926D8" w:rsidRDefault="00B76ABC" w:rsidP="006926D8">
      <w:pPr>
        <w:autoSpaceDE w:val="0"/>
        <w:autoSpaceDN w:val="0"/>
        <w:spacing w:line="560" w:lineRule="exact"/>
        <w:rPr>
          <w:rFonts w:ascii="楷体_GB2312" w:eastAsia="楷体_GB2312" w:cs="宋体"/>
          <w:kern w:val="0"/>
          <w:sz w:val="32"/>
          <w:szCs w:val="32"/>
        </w:rPr>
      </w:pPr>
    </w:p>
    <w:p w:rsidR="00B76ABC" w:rsidRDefault="00B76ABC" w:rsidP="006926D8">
      <w:pPr>
        <w:spacing w:line="560" w:lineRule="exact"/>
        <w:jc w:val="center"/>
        <w:rPr>
          <w:rFonts w:ascii="宋体"/>
          <w:sz w:val="44"/>
          <w:szCs w:val="44"/>
        </w:rPr>
      </w:pPr>
      <w:r w:rsidRPr="00E920CD">
        <w:rPr>
          <w:rFonts w:ascii="宋体" w:hAnsi="宋体" w:hint="eastAsia"/>
          <w:sz w:val="44"/>
          <w:szCs w:val="44"/>
        </w:rPr>
        <w:t>过去五年工作回顾</w:t>
      </w:r>
    </w:p>
    <w:p w:rsidR="00B76ABC" w:rsidRPr="006926D8" w:rsidRDefault="00B76ABC" w:rsidP="006926D8">
      <w:pPr>
        <w:autoSpaceDE w:val="0"/>
        <w:autoSpaceDN w:val="0"/>
        <w:spacing w:line="560" w:lineRule="exact"/>
        <w:rPr>
          <w:rFonts w:ascii="楷体_GB2312" w:eastAsia="楷体_GB2312" w:cs="宋体"/>
          <w:kern w:val="0"/>
          <w:sz w:val="32"/>
          <w:szCs w:val="32"/>
        </w:rPr>
      </w:pP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十五届人大一次会议以来，我院在县委的领导、县人大及其常委会的监督和上级法院的指导下，在县政府、县政协和社会各界的关心支持下，紧紧围绕“让人民群众在每一个司法案件中都感受到公平正义”的目标，牢牢把握</w:t>
      </w:r>
      <w:r>
        <w:rPr>
          <w:rFonts w:eastAsia="仿宋_GB2312" w:hint="eastAsia"/>
          <w:sz w:val="32"/>
          <w:szCs w:val="32"/>
        </w:rPr>
        <w:t>司法为民公正司</w:t>
      </w:r>
      <w:r>
        <w:rPr>
          <w:rFonts w:ascii="仿宋_GB2312" w:eastAsia="仿宋_GB2312" w:hint="eastAsia"/>
          <w:sz w:val="32"/>
          <w:szCs w:val="32"/>
        </w:rPr>
        <w:t>法主线，忠实履行宪法法律赋予的职责，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各项工作取得了新的进展。五年来，共办结各类案件</w:t>
      </w:r>
      <w:r>
        <w:rPr>
          <w:rFonts w:ascii="仿宋_GB2312" w:eastAsia="仿宋_GB2312"/>
          <w:color w:val="000000"/>
          <w:kern w:val="0"/>
          <w:sz w:val="32"/>
          <w:szCs w:val="32"/>
        </w:rPr>
        <w:t>5.01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万件，</w:t>
      </w:r>
      <w:r>
        <w:rPr>
          <w:rFonts w:ascii="仿宋_GB2312" w:eastAsia="仿宋_GB2312" w:hint="eastAsia"/>
          <w:sz w:val="32"/>
          <w:szCs w:val="32"/>
        </w:rPr>
        <w:t>解决诉讼标的额</w:t>
      </w:r>
      <w:r>
        <w:rPr>
          <w:rFonts w:ascii="仿宋_GB2312" w:eastAsia="仿宋_GB2312"/>
          <w:sz w:val="32"/>
          <w:szCs w:val="32"/>
        </w:rPr>
        <w:t>136.3</w:t>
      </w:r>
      <w:r>
        <w:rPr>
          <w:rFonts w:ascii="仿宋_GB2312" w:eastAsia="仿宋_GB2312" w:hint="eastAsia"/>
          <w:sz w:val="32"/>
          <w:szCs w:val="32"/>
        </w:rPr>
        <w:t>亿元，与上届相比，分别增加</w:t>
      </w:r>
      <w:r>
        <w:rPr>
          <w:rFonts w:ascii="仿宋_GB2312" w:eastAsia="仿宋_GB2312"/>
          <w:sz w:val="32"/>
          <w:szCs w:val="32"/>
        </w:rPr>
        <w:t>38.8%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493%</w:t>
      </w:r>
      <w:r>
        <w:rPr>
          <w:rFonts w:ascii="仿宋_GB2312" w:eastAsia="仿宋_GB2312" w:hint="eastAsia"/>
          <w:sz w:val="32"/>
          <w:szCs w:val="32"/>
        </w:rPr>
        <w:t>。其中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年办结各类案件</w:t>
      </w:r>
      <w:r>
        <w:rPr>
          <w:rFonts w:ascii="仿宋_GB2312" w:eastAsia="仿宋_GB2312"/>
          <w:color w:val="000000"/>
          <w:kern w:val="0"/>
          <w:sz w:val="32"/>
          <w:szCs w:val="32"/>
        </w:rPr>
        <w:t>1.18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万件，</w:t>
      </w:r>
      <w:r>
        <w:rPr>
          <w:rFonts w:ascii="仿宋_GB2312" w:eastAsia="仿宋_GB2312" w:hint="eastAsia"/>
          <w:sz w:val="32"/>
          <w:szCs w:val="32"/>
        </w:rPr>
        <w:t>解决诉讼标的额</w:t>
      </w:r>
      <w:r>
        <w:rPr>
          <w:rFonts w:ascii="仿宋_GB2312" w:eastAsia="仿宋_GB2312"/>
          <w:sz w:val="32"/>
          <w:szCs w:val="32"/>
        </w:rPr>
        <w:t>39.8</w:t>
      </w:r>
      <w:r>
        <w:rPr>
          <w:rFonts w:ascii="仿宋_GB2312" w:eastAsia="仿宋_GB2312" w:hint="eastAsia"/>
          <w:sz w:val="32"/>
          <w:szCs w:val="32"/>
        </w:rPr>
        <w:t>亿元，同比增加</w:t>
      </w:r>
      <w:r>
        <w:rPr>
          <w:rFonts w:ascii="仿宋_GB2312" w:eastAsia="仿宋_GB2312"/>
          <w:sz w:val="32"/>
          <w:szCs w:val="32"/>
        </w:rPr>
        <w:t>13.5%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11.9%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，为建设法治永嘉、平安永嘉提供了有力的司法保障。</w:t>
      </w:r>
    </w:p>
    <w:p w:rsidR="00B76ABC" w:rsidRDefault="00B76ABC" w:rsidP="006926D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一、围绕中心，保障永嘉科学发展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依法保障全县中心工作。</w:t>
      </w:r>
      <w:r>
        <w:rPr>
          <w:rFonts w:ascii="仿宋_GB2312" w:eastAsia="仿宋_GB2312" w:hint="eastAsia"/>
          <w:sz w:val="32"/>
          <w:szCs w:val="32"/>
        </w:rPr>
        <w:t>相继落实“三改一拆”“五水共治”等中心工作司法保障意见，妥善办理涉案纠纷，为建设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“无违建县”和</w:t>
      </w:r>
      <w:r>
        <w:rPr>
          <w:rFonts w:ascii="仿宋_GB2312" w:eastAsia="仿宋_GB2312" w:hAnsi="仿宋" w:hint="eastAsia"/>
          <w:sz w:val="32"/>
          <w:szCs w:val="32"/>
        </w:rPr>
        <w:t>“美丽永嘉”保驾护航。</w:t>
      </w:r>
      <w:r>
        <w:rPr>
          <w:rFonts w:ascii="仿宋_GB2312" w:eastAsia="仿宋_GB2312" w:hint="eastAsia"/>
          <w:sz w:val="32"/>
          <w:szCs w:val="32"/>
        </w:rPr>
        <w:t>五年来，共对</w:t>
      </w:r>
      <w:r>
        <w:rPr>
          <w:rFonts w:ascii="仿宋_GB2312" w:eastAsia="仿宋_GB2312"/>
          <w:sz w:val="32"/>
          <w:szCs w:val="32"/>
        </w:rPr>
        <w:t>437</w:t>
      </w:r>
      <w:r>
        <w:rPr>
          <w:rFonts w:ascii="仿宋_GB2312" w:eastAsia="仿宋_GB2312" w:hint="eastAsia"/>
          <w:sz w:val="32"/>
          <w:szCs w:val="32"/>
        </w:rPr>
        <w:t>起涉拆迁、拆违的行政处罚决定裁定准予执行，并推动县政府清理历史遗留的拆违案件</w:t>
      </w:r>
      <w:r>
        <w:rPr>
          <w:rFonts w:ascii="仿宋_GB2312" w:eastAsia="仿宋_GB2312"/>
          <w:sz w:val="32"/>
          <w:szCs w:val="32"/>
        </w:rPr>
        <w:t>636</w:t>
      </w:r>
      <w:r>
        <w:rPr>
          <w:rFonts w:ascii="仿宋_GB2312" w:eastAsia="仿宋_GB2312" w:hint="eastAsia"/>
          <w:sz w:val="32"/>
          <w:szCs w:val="32"/>
        </w:rPr>
        <w:t>件。加大环境资源保护力度，共审结</w:t>
      </w:r>
      <w:r>
        <w:rPr>
          <w:rFonts w:ascii="仿宋_GB2312" w:eastAsia="仿宋_GB2312" w:hAnsi="仿宋" w:hint="eastAsia"/>
          <w:sz w:val="32"/>
          <w:szCs w:val="32"/>
        </w:rPr>
        <w:t>污染环境犯罪案件</w:t>
      </w:r>
      <w:r>
        <w:rPr>
          <w:rFonts w:ascii="仿宋_GB2312" w:eastAsia="仿宋_GB2312" w:hAnsi="仿宋"/>
          <w:sz w:val="32"/>
          <w:szCs w:val="32"/>
        </w:rPr>
        <w:t>62</w:t>
      </w:r>
      <w:r>
        <w:rPr>
          <w:rFonts w:ascii="仿宋_GB2312" w:eastAsia="仿宋_GB2312" w:hAnsi="仿宋" w:hint="eastAsia"/>
          <w:sz w:val="32"/>
          <w:szCs w:val="32"/>
        </w:rPr>
        <w:t>件，判处罪犯</w:t>
      </w:r>
      <w:r>
        <w:rPr>
          <w:rFonts w:ascii="仿宋_GB2312" w:eastAsia="仿宋_GB2312" w:hAnsi="仿宋"/>
          <w:sz w:val="32"/>
          <w:szCs w:val="32"/>
        </w:rPr>
        <w:t>112</w:t>
      </w:r>
      <w:r>
        <w:rPr>
          <w:rFonts w:ascii="仿宋_GB2312" w:eastAsia="仿宋_GB2312" w:hAnsi="仿宋" w:hint="eastAsia"/>
          <w:sz w:val="32"/>
          <w:szCs w:val="32"/>
        </w:rPr>
        <w:t>人，审结破坏渔林矿产等资源犯罪案件</w:t>
      </w:r>
      <w:r>
        <w:rPr>
          <w:rFonts w:ascii="仿宋_GB2312" w:eastAsia="仿宋_GB2312" w:hAnsi="仿宋"/>
          <w:sz w:val="32"/>
          <w:szCs w:val="32"/>
        </w:rPr>
        <w:t>64</w:t>
      </w:r>
      <w:r>
        <w:rPr>
          <w:rFonts w:ascii="仿宋_GB2312" w:eastAsia="仿宋_GB2312" w:hAnsi="仿宋" w:hint="eastAsia"/>
          <w:sz w:val="32"/>
          <w:szCs w:val="32"/>
        </w:rPr>
        <w:t>件，判处罪犯</w:t>
      </w:r>
      <w:r>
        <w:rPr>
          <w:rFonts w:ascii="仿宋_GB2312" w:eastAsia="仿宋_GB2312" w:hAnsi="仿宋"/>
          <w:sz w:val="32"/>
          <w:szCs w:val="32"/>
        </w:rPr>
        <w:t>128</w:t>
      </w:r>
      <w:r>
        <w:rPr>
          <w:rFonts w:ascii="仿宋_GB2312" w:eastAsia="仿宋_GB2312" w:hAnsi="仿宋" w:hint="eastAsia"/>
          <w:sz w:val="32"/>
          <w:szCs w:val="32"/>
        </w:rPr>
        <w:t>人。主动服务重大项目建设，专题调研重大项目工程建设及城中村、旧城改造过程中的法律问题，出台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“服务保障意见十三条”</w:t>
      </w:r>
      <w:r>
        <w:rPr>
          <w:rFonts w:ascii="仿宋_GB2312" w:eastAsia="仿宋_GB2312" w:hAnsi="仿宋" w:hint="eastAsia"/>
          <w:sz w:val="32"/>
          <w:szCs w:val="32"/>
        </w:rPr>
        <w:t>及配套实施方案，并向县政府提出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条关于防范涉诉风险的工作建议。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努力维护经济金融稳定。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落实服务实体经济发展十大举措和保障金融改革实施意见</w:t>
      </w:r>
      <w:r>
        <w:rPr>
          <w:rFonts w:ascii="仿宋_GB2312" w:eastAsia="仿宋_GB2312" w:hAnsi="Times New Roman"/>
          <w:snapToGrid w:val="0"/>
          <w:sz w:val="32"/>
          <w:szCs w:val="32"/>
        </w:rPr>
        <w:t>,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助推县域经济健康发展。加强金融债权保护，建立金融审判与监管联席会议制度，率先推行金融担保债权直接实现机制，共</w:t>
      </w:r>
      <w:r>
        <w:rPr>
          <w:rFonts w:ascii="仿宋_GB2312" w:eastAsia="仿宋_GB2312" w:hint="eastAsia"/>
          <w:kern w:val="0"/>
          <w:sz w:val="32"/>
          <w:szCs w:val="32"/>
        </w:rPr>
        <w:t>审结金融案件</w:t>
      </w:r>
      <w:r>
        <w:rPr>
          <w:rFonts w:ascii="仿宋_GB2312" w:eastAsia="仿宋_GB2312"/>
          <w:sz w:val="32"/>
          <w:szCs w:val="32"/>
        </w:rPr>
        <w:t>1789</w:t>
      </w:r>
      <w:r>
        <w:rPr>
          <w:rFonts w:ascii="仿宋_GB2312" w:eastAsia="仿宋_GB2312" w:hint="eastAsia"/>
          <w:kern w:val="0"/>
          <w:sz w:val="32"/>
          <w:szCs w:val="32"/>
        </w:rPr>
        <w:t>件，解决诉讼标的额</w:t>
      </w:r>
      <w:r>
        <w:rPr>
          <w:rFonts w:ascii="仿宋_GB2312" w:eastAsia="仿宋_GB2312"/>
          <w:sz w:val="32"/>
          <w:szCs w:val="32"/>
        </w:rPr>
        <w:t>26.8</w:t>
      </w:r>
      <w:r>
        <w:rPr>
          <w:rFonts w:ascii="仿宋_GB2312" w:eastAsia="仿宋_GB2312" w:hint="eastAsia"/>
          <w:kern w:val="0"/>
          <w:sz w:val="32"/>
          <w:szCs w:val="32"/>
        </w:rPr>
        <w:t>亿元。妥善办理涉企案件</w:t>
      </w:r>
      <w:r>
        <w:rPr>
          <w:rFonts w:ascii="仿宋_GB2312" w:eastAsia="仿宋_GB2312"/>
          <w:kern w:val="0"/>
          <w:sz w:val="32"/>
          <w:szCs w:val="32"/>
        </w:rPr>
        <w:t>7000</w:t>
      </w:r>
      <w:r>
        <w:rPr>
          <w:rFonts w:ascii="仿宋_GB2312" w:eastAsia="仿宋_GB2312" w:hint="eastAsia"/>
          <w:kern w:val="0"/>
          <w:sz w:val="32"/>
          <w:szCs w:val="32"/>
        </w:rPr>
        <w:t>余件，通过慎用保全措施、活用调解和解、保护借款展期、支持应急转贷等手段，帮助化解</w:t>
      </w:r>
      <w:r>
        <w:rPr>
          <w:rFonts w:ascii="仿宋_GB2312" w:eastAsia="仿宋_GB2312" w:hAnsi="仿宋" w:cs="仿宋_GB2312" w:hint="eastAsia"/>
          <w:sz w:val="32"/>
          <w:szCs w:val="32"/>
        </w:rPr>
        <w:t>“两链”风险</w:t>
      </w:r>
      <w:r>
        <w:rPr>
          <w:rFonts w:ascii="仿宋_GB2312" w:eastAsia="仿宋_GB2312" w:hint="eastAsia"/>
          <w:kern w:val="0"/>
          <w:sz w:val="32"/>
          <w:szCs w:val="32"/>
        </w:rPr>
        <w:t>。加强破产审判，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专门成立破产审判庭，五年共审结破产案件</w:t>
      </w:r>
      <w:r>
        <w:rPr>
          <w:rFonts w:ascii="仿宋_GB2312" w:eastAsia="仿宋_GB2312" w:hAnsi="Times New Roman"/>
          <w:snapToGrid w:val="0"/>
          <w:sz w:val="32"/>
          <w:szCs w:val="32"/>
        </w:rPr>
        <w:t>51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件，成功促成东日药业等公司破产重整，通过破产程序化解银行不良资产</w:t>
      </w:r>
      <w:r>
        <w:rPr>
          <w:rFonts w:ascii="仿宋_GB2312" w:eastAsia="仿宋_GB2312" w:hAnsi="Times New Roman"/>
          <w:snapToGrid w:val="0"/>
          <w:sz w:val="32"/>
          <w:szCs w:val="32"/>
        </w:rPr>
        <w:t>4.6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亿元，盘活企业存量资产</w:t>
      </w:r>
      <w:r>
        <w:rPr>
          <w:rFonts w:ascii="仿宋_GB2312" w:eastAsia="仿宋_GB2312" w:hAnsi="Times New Roman"/>
          <w:snapToGrid w:val="0"/>
          <w:sz w:val="32"/>
          <w:szCs w:val="32"/>
        </w:rPr>
        <w:t>1.2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亿元，释放土地资源</w:t>
      </w:r>
      <w:r>
        <w:rPr>
          <w:rFonts w:ascii="仿宋_GB2312" w:eastAsia="仿宋_GB2312" w:hAnsi="Times New Roman"/>
          <w:snapToGrid w:val="0"/>
          <w:sz w:val="32"/>
          <w:szCs w:val="32"/>
        </w:rPr>
        <w:t>1.5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万平方米、房屋面积</w:t>
      </w:r>
      <w:r>
        <w:rPr>
          <w:rFonts w:ascii="仿宋_GB2312" w:eastAsia="仿宋_GB2312" w:hAnsi="Times New Roman"/>
          <w:snapToGrid w:val="0"/>
          <w:sz w:val="32"/>
          <w:szCs w:val="32"/>
        </w:rPr>
        <w:t>1.4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万平方米。</w:t>
      </w:r>
    </w:p>
    <w:p w:rsidR="00B76ABC" w:rsidRDefault="00B76ABC" w:rsidP="00E920CD">
      <w:pPr>
        <w:spacing w:line="560" w:lineRule="exact"/>
        <w:ind w:firstLine="660"/>
        <w:rPr>
          <w:rFonts w:ascii="楷体_GB2312" w:eastAsia="楷体_GB2312" w:hAnsi="楷体" w:cs="楷体"/>
          <w:b/>
          <w:bCs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积极参与社会综合治理。</w:t>
      </w:r>
      <w:r>
        <w:rPr>
          <w:rFonts w:ascii="仿宋_GB2312" w:eastAsia="仿宋_GB2312" w:hAnsi="仿宋" w:cs="仿宋_GB2312" w:hint="eastAsia"/>
          <w:sz w:val="32"/>
          <w:szCs w:val="32"/>
        </w:rPr>
        <w:t>发扬“枫桥经验”，在院机关、基层法庭建立诉调对接窗口和人民调解室，相继与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家调解机构、</w:t>
      </w:r>
      <w:r>
        <w:rPr>
          <w:rFonts w:ascii="仿宋_GB2312" w:eastAsia="仿宋_GB2312" w:hAnsi="仿宋" w:cs="仿宋_GB2312"/>
          <w:sz w:val="32"/>
          <w:szCs w:val="32"/>
        </w:rPr>
        <w:lastRenderedPageBreak/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家行业协会开展诉调对接，五年来通过诉前调解、委托调解、司法确认等方式成功化解纠纷</w:t>
      </w:r>
      <w:r>
        <w:rPr>
          <w:rFonts w:ascii="仿宋_GB2312" w:eastAsia="仿宋_GB2312" w:hAnsi="仿宋" w:cs="仿宋_GB2312"/>
          <w:sz w:val="32"/>
          <w:szCs w:val="32"/>
        </w:rPr>
        <w:t>2114</w:t>
      </w:r>
      <w:r>
        <w:rPr>
          <w:rFonts w:ascii="仿宋_GB2312" w:eastAsia="仿宋_GB2312" w:hAnsi="仿宋" w:cs="仿宋_GB2312" w:hint="eastAsia"/>
          <w:sz w:val="32"/>
          <w:szCs w:val="32"/>
        </w:rPr>
        <w:t>件。会同县司法局建立刑附民案件诉调协同机制，近三年共调解或促成和解案件</w:t>
      </w:r>
      <w:r>
        <w:rPr>
          <w:rFonts w:ascii="仿宋_GB2312" w:eastAsia="仿宋_GB2312" w:hAnsi="仿宋" w:cs="仿宋_GB2312"/>
          <w:sz w:val="32"/>
          <w:szCs w:val="32"/>
        </w:rPr>
        <w:t>510</w:t>
      </w:r>
      <w:r>
        <w:rPr>
          <w:rFonts w:ascii="仿宋_GB2312" w:eastAsia="仿宋_GB2312" w:hAnsi="仿宋" w:cs="仿宋_GB2312" w:hint="eastAsia"/>
          <w:sz w:val="32"/>
          <w:szCs w:val="32"/>
        </w:rPr>
        <w:t>件，帮助被害人及其家属及时获得赔偿款</w:t>
      </w:r>
      <w:r>
        <w:rPr>
          <w:rFonts w:ascii="仿宋_GB2312" w:eastAsia="仿宋_GB2312" w:hAnsi="仿宋" w:cs="仿宋_GB2312"/>
          <w:sz w:val="32"/>
          <w:szCs w:val="32"/>
        </w:rPr>
        <w:t>7306</w:t>
      </w:r>
      <w:r>
        <w:rPr>
          <w:rFonts w:ascii="仿宋_GB2312" w:eastAsia="仿宋_GB2312" w:hAnsi="仿宋" w:cs="仿宋_GB2312" w:hint="eastAsia"/>
          <w:sz w:val="32"/>
          <w:szCs w:val="32"/>
        </w:rPr>
        <w:t>万元。持续开展“三争三进三服务”活动，选派法官“进金融、进企业、进农村”，帮助化解矛盾、防范风险及指导调解。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依托三大教育基地，开展职务犯罪预防教育、青少年</w:t>
      </w:r>
      <w:r>
        <w:rPr>
          <w:rFonts w:ascii="仿宋_GB2312" w:eastAsia="仿宋_GB2312" w:hAnsi="仿宋" w:cs="仿宋_GB2312" w:hint="eastAsia"/>
          <w:sz w:val="32"/>
          <w:szCs w:val="32"/>
        </w:rPr>
        <w:t>法制教育、社会科学教育及各类法制宣讲活动</w:t>
      </w:r>
      <w:r>
        <w:rPr>
          <w:rFonts w:ascii="仿宋_GB2312" w:eastAsia="仿宋_GB2312" w:hAnsi="仿宋" w:cs="仿宋_GB2312"/>
          <w:sz w:val="32"/>
          <w:szCs w:val="32"/>
        </w:rPr>
        <w:t>130</w:t>
      </w:r>
      <w:r>
        <w:rPr>
          <w:rFonts w:ascii="仿宋_GB2312" w:eastAsia="仿宋_GB2312" w:hAnsi="仿宋" w:cs="仿宋_GB2312" w:hint="eastAsia"/>
          <w:sz w:val="32"/>
          <w:szCs w:val="32"/>
        </w:rPr>
        <w:t>余次，不断提升群众法制意识。</w:t>
      </w:r>
    </w:p>
    <w:p w:rsidR="00B76ABC" w:rsidRDefault="00B76ABC" w:rsidP="006926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二、依法履职，维护社会公平正义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宽严相济惩治刑事犯罪。</w:t>
      </w:r>
      <w:r>
        <w:rPr>
          <w:rFonts w:ascii="仿宋_GB2312" w:eastAsia="仿宋_GB2312" w:hint="eastAsia"/>
          <w:sz w:val="32"/>
          <w:szCs w:val="32"/>
        </w:rPr>
        <w:t>共审结刑事案件</w:t>
      </w:r>
      <w:r>
        <w:rPr>
          <w:rFonts w:ascii="仿宋_GB2312" w:eastAsia="仿宋_GB2312"/>
          <w:sz w:val="32"/>
          <w:szCs w:val="32"/>
        </w:rPr>
        <w:t>7127</w:t>
      </w:r>
      <w:r>
        <w:rPr>
          <w:rFonts w:ascii="仿宋_GB2312" w:eastAsia="仿宋_GB2312" w:hint="eastAsia"/>
          <w:sz w:val="32"/>
          <w:szCs w:val="32"/>
        </w:rPr>
        <w:t>件，判处罪犯</w:t>
      </w:r>
      <w:r>
        <w:rPr>
          <w:rFonts w:ascii="仿宋_GB2312" w:eastAsia="仿宋_GB2312"/>
          <w:sz w:val="32"/>
          <w:szCs w:val="32"/>
        </w:rPr>
        <w:t>10276</w:t>
      </w:r>
      <w:r>
        <w:rPr>
          <w:rFonts w:ascii="仿宋_GB2312" w:eastAsia="仿宋_GB2312" w:hint="eastAsia"/>
          <w:sz w:val="32"/>
          <w:szCs w:val="32"/>
        </w:rPr>
        <w:t>人，其中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年审结</w:t>
      </w:r>
      <w:r>
        <w:rPr>
          <w:rFonts w:ascii="仿宋_GB2312" w:eastAsia="仿宋_GB2312"/>
          <w:sz w:val="32"/>
          <w:szCs w:val="32"/>
        </w:rPr>
        <w:t>1436</w:t>
      </w:r>
      <w:r>
        <w:rPr>
          <w:rFonts w:ascii="仿宋_GB2312" w:eastAsia="仿宋_GB2312" w:hint="eastAsia"/>
          <w:sz w:val="32"/>
          <w:szCs w:val="32"/>
        </w:rPr>
        <w:t>件，判处罪犯</w:t>
      </w:r>
      <w:r>
        <w:rPr>
          <w:rFonts w:ascii="仿宋_GB2312" w:eastAsia="仿宋_GB2312"/>
          <w:sz w:val="32"/>
          <w:szCs w:val="32"/>
        </w:rPr>
        <w:t>2133</w:t>
      </w:r>
      <w:r>
        <w:rPr>
          <w:rFonts w:ascii="仿宋_GB2312" w:eastAsia="仿宋_GB2312" w:hint="eastAsia"/>
          <w:sz w:val="32"/>
          <w:szCs w:val="32"/>
        </w:rPr>
        <w:t>人。严惩故意伤害、绑架、强奸、涉黑涉恶等犯罪案件</w:t>
      </w:r>
      <w:r>
        <w:rPr>
          <w:rFonts w:ascii="仿宋_GB2312" w:eastAsia="仿宋_GB2312"/>
          <w:sz w:val="32"/>
          <w:szCs w:val="32"/>
        </w:rPr>
        <w:t>1392</w:t>
      </w:r>
      <w:r>
        <w:rPr>
          <w:rFonts w:ascii="仿宋_GB2312" w:eastAsia="仿宋_GB2312" w:hint="eastAsia"/>
          <w:sz w:val="32"/>
          <w:szCs w:val="32"/>
        </w:rPr>
        <w:t>件，“两抢一盗”等多发性侵财犯罪案件</w:t>
      </w:r>
      <w:r>
        <w:rPr>
          <w:rFonts w:ascii="仿宋_GB2312" w:eastAsia="仿宋_GB2312"/>
          <w:sz w:val="32"/>
          <w:szCs w:val="32"/>
        </w:rPr>
        <w:t>2117</w:t>
      </w:r>
      <w:r>
        <w:rPr>
          <w:rFonts w:ascii="仿宋_GB2312" w:eastAsia="仿宋_GB2312" w:hint="eastAsia"/>
          <w:sz w:val="32"/>
          <w:szCs w:val="32"/>
        </w:rPr>
        <w:t>件，制售有毒有害或不符合安全标准的食品犯罪案件</w:t>
      </w:r>
      <w:r>
        <w:rPr>
          <w:rFonts w:ascii="仿宋_GB2312" w:eastAsia="仿宋_GB2312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件，切实提升人民群众安全感。惩治非法经营、合同诈骗、信用卡诈骗等犯罪案件</w:t>
      </w:r>
      <w:r>
        <w:rPr>
          <w:rFonts w:ascii="仿宋_GB2312" w:eastAsia="仿宋_GB2312"/>
          <w:sz w:val="32"/>
          <w:szCs w:val="32"/>
        </w:rPr>
        <w:t>290</w:t>
      </w:r>
      <w:r>
        <w:rPr>
          <w:rFonts w:ascii="仿宋_GB2312" w:eastAsia="仿宋_GB2312" w:hint="eastAsia"/>
          <w:sz w:val="32"/>
          <w:szCs w:val="32"/>
        </w:rPr>
        <w:t>件，维护经济金融稳定。深入推进反腐败治理工作，严惩贪污、受贿和渎职犯罪案件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件，判处罪犯</w:t>
      </w:r>
      <w:r>
        <w:rPr>
          <w:rFonts w:ascii="仿宋_GB2312" w:eastAsia="仿宋_GB2312"/>
          <w:sz w:val="32"/>
          <w:szCs w:val="32"/>
        </w:rPr>
        <w:t>102</w:t>
      </w:r>
      <w:r>
        <w:rPr>
          <w:rFonts w:ascii="仿宋_GB2312" w:eastAsia="仿宋_GB2312" w:hint="eastAsia"/>
          <w:sz w:val="32"/>
          <w:szCs w:val="32"/>
        </w:rPr>
        <w:t>人。坚持寓教于审，依法对</w:t>
      </w:r>
      <w:r>
        <w:rPr>
          <w:rFonts w:ascii="仿宋_GB2312" w:eastAsia="仿宋_GB2312"/>
          <w:sz w:val="32"/>
          <w:szCs w:val="32"/>
        </w:rPr>
        <w:t>2252</w:t>
      </w:r>
      <w:r>
        <w:rPr>
          <w:rFonts w:ascii="仿宋_GB2312" w:eastAsia="仿宋_GB2312" w:hint="eastAsia"/>
          <w:sz w:val="32"/>
          <w:szCs w:val="32"/>
        </w:rPr>
        <w:t>名罪行较轻的被告人适用缓刑、判处非监禁刑或免予刑事处罚。落实罪刑法定、无罪推定等法律原则，准予检察机关撤回起诉案件</w:t>
      </w:r>
      <w:r>
        <w:rPr>
          <w:rFonts w:ascii="仿宋_GB2312" w:eastAsia="仿宋_GB2312"/>
          <w:sz w:val="32"/>
          <w:szCs w:val="32"/>
        </w:rPr>
        <w:t>101</w:t>
      </w:r>
      <w:r>
        <w:rPr>
          <w:rFonts w:ascii="仿宋_GB2312" w:eastAsia="仿宋_GB2312" w:hint="eastAsia"/>
          <w:sz w:val="32"/>
          <w:szCs w:val="32"/>
        </w:rPr>
        <w:t>件。高度重视对未成年人的教育、感化和挽救，专门成立少年刑事审判庭和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个帮教基地，推行圆桌审判、审前调查、社会观护、心理干预、档案封存等制度，对</w:t>
      </w:r>
      <w:r>
        <w:rPr>
          <w:rFonts w:ascii="仿宋_GB2312" w:eastAsia="仿宋_GB2312"/>
          <w:sz w:val="32"/>
          <w:szCs w:val="32"/>
        </w:rPr>
        <w:t>479</w:t>
      </w:r>
      <w:r>
        <w:rPr>
          <w:rFonts w:ascii="仿宋_GB2312" w:eastAsia="仿宋_GB2312" w:hint="eastAsia"/>
          <w:sz w:val="32"/>
          <w:szCs w:val="32"/>
        </w:rPr>
        <w:t>名未成年人予以矫治并帮助其回归社会。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lastRenderedPageBreak/>
        <w:t>调判结合化解民商纠纷。</w:t>
      </w:r>
      <w:r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 w:hAnsi="仿宋" w:cs="仿宋_GB2312" w:hint="eastAsia"/>
          <w:sz w:val="32"/>
          <w:szCs w:val="32"/>
        </w:rPr>
        <w:t>审结民商事案件</w:t>
      </w:r>
      <w:r>
        <w:rPr>
          <w:rFonts w:ascii="仿宋_GB2312" w:eastAsia="仿宋_GB2312" w:hAnsi="仿宋" w:cs="仿宋_GB2312"/>
          <w:sz w:val="32"/>
          <w:szCs w:val="32"/>
        </w:rPr>
        <w:t>2.47</w:t>
      </w:r>
      <w:r>
        <w:rPr>
          <w:rFonts w:ascii="仿宋_GB2312" w:eastAsia="仿宋_GB2312" w:hAnsi="仿宋" w:cs="仿宋_GB2312" w:hint="eastAsia"/>
          <w:sz w:val="32"/>
          <w:szCs w:val="32"/>
        </w:rPr>
        <w:t>万件，解决诉讼标的额</w:t>
      </w:r>
      <w:r>
        <w:rPr>
          <w:rFonts w:ascii="仿宋_GB2312" w:eastAsia="仿宋_GB2312" w:hAnsi="仿宋" w:cs="仿宋_GB2312"/>
          <w:sz w:val="32"/>
          <w:szCs w:val="32"/>
        </w:rPr>
        <w:t>116</w:t>
      </w:r>
      <w:r>
        <w:rPr>
          <w:rFonts w:ascii="仿宋_GB2312" w:eastAsia="仿宋_GB2312" w:hAnsi="仿宋" w:cs="仿宋_GB2312" w:hint="eastAsia"/>
          <w:sz w:val="32"/>
          <w:szCs w:val="32"/>
        </w:rPr>
        <w:t>亿元，其中</w:t>
      </w:r>
      <w:r>
        <w:rPr>
          <w:rFonts w:ascii="仿宋_GB2312" w:eastAsia="仿宋_GB2312" w:hAnsi="仿宋" w:cs="仿宋_GB2312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</w:rPr>
        <w:t>年审结</w:t>
      </w:r>
      <w:r>
        <w:rPr>
          <w:rFonts w:ascii="仿宋_GB2312" w:eastAsia="仿宋_GB2312" w:hAnsi="仿宋" w:cs="仿宋_GB2312"/>
          <w:sz w:val="32"/>
          <w:szCs w:val="32"/>
        </w:rPr>
        <w:t>6271</w:t>
      </w:r>
      <w:r>
        <w:rPr>
          <w:rFonts w:ascii="仿宋_GB2312" w:eastAsia="仿宋_GB2312" w:hAnsi="仿宋" w:cs="仿宋_GB2312" w:hint="eastAsia"/>
          <w:sz w:val="32"/>
          <w:szCs w:val="32"/>
        </w:rPr>
        <w:t>件，解决诉讼标的额</w:t>
      </w:r>
      <w:r>
        <w:rPr>
          <w:rFonts w:ascii="仿宋_GB2312" w:eastAsia="仿宋_GB2312" w:hAnsi="仿宋" w:cs="仿宋_GB2312"/>
          <w:sz w:val="32"/>
          <w:szCs w:val="32"/>
        </w:rPr>
        <w:t>33.3</w:t>
      </w:r>
      <w:r>
        <w:rPr>
          <w:rFonts w:ascii="仿宋_GB2312" w:eastAsia="仿宋_GB2312" w:hAnsi="仿宋" w:cs="仿宋_GB2312" w:hint="eastAsia"/>
          <w:sz w:val="32"/>
          <w:szCs w:val="32"/>
        </w:rPr>
        <w:t>亿元。坚持“调解优先，调判结合”，五年民事调撤率为</w:t>
      </w:r>
      <w:r>
        <w:rPr>
          <w:rFonts w:ascii="仿宋_GB2312" w:eastAsia="仿宋_GB2312" w:hAnsi="仿宋" w:cs="仿宋_GB2312"/>
          <w:sz w:val="32"/>
          <w:szCs w:val="32"/>
        </w:rPr>
        <w:t>62%</w:t>
      </w:r>
      <w:r>
        <w:rPr>
          <w:rFonts w:ascii="仿宋_GB2312" w:eastAsia="仿宋_GB2312" w:hAnsi="仿宋" w:cs="仿宋_GB2312" w:hint="eastAsia"/>
          <w:sz w:val="32"/>
          <w:szCs w:val="32"/>
        </w:rPr>
        <w:t>，居省市法院前列。高度重视涉案民生保障，畅通绿色维权通道，共审结追索报酬、经济补偿、工伤保险等劳动争议案件</w:t>
      </w:r>
      <w:r>
        <w:rPr>
          <w:rFonts w:ascii="仿宋_GB2312" w:eastAsia="仿宋_GB2312" w:hAnsi="仿宋" w:cs="仿宋_GB2312"/>
          <w:sz w:val="32"/>
          <w:szCs w:val="32"/>
        </w:rPr>
        <w:t>726</w:t>
      </w:r>
      <w:r>
        <w:rPr>
          <w:rFonts w:ascii="仿宋_GB2312" w:eastAsia="仿宋_GB2312" w:hAnsi="仿宋" w:cs="仿宋_GB2312" w:hint="eastAsia"/>
          <w:sz w:val="32"/>
          <w:szCs w:val="32"/>
        </w:rPr>
        <w:t>件，审结道路交通事故、医疗事故等人身损害赔偿案件</w:t>
      </w:r>
      <w:r>
        <w:rPr>
          <w:rFonts w:ascii="仿宋_GB2312" w:eastAsia="仿宋_GB2312" w:hAnsi="仿宋" w:cs="仿宋_GB2312"/>
          <w:sz w:val="32"/>
          <w:szCs w:val="32"/>
        </w:rPr>
        <w:t>1910</w:t>
      </w:r>
      <w:r>
        <w:rPr>
          <w:rFonts w:ascii="仿宋_GB2312" w:eastAsia="仿宋_GB2312" w:hAnsi="仿宋" w:cs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。深入推进家事审判改革，专门成立家事审判合议庭和联合调解中心，推行圆桌调判、跟踪回访、离婚冷静期、人身保护令等做法，五年来共审结婚姻家庭、遗产继承、赡养抚育等家事案件</w:t>
      </w:r>
      <w:r>
        <w:rPr>
          <w:rFonts w:ascii="仿宋_GB2312" w:eastAsia="仿宋_GB2312"/>
          <w:sz w:val="32"/>
          <w:szCs w:val="32"/>
        </w:rPr>
        <w:t>6821</w:t>
      </w:r>
      <w:r>
        <w:rPr>
          <w:rFonts w:ascii="仿宋_GB2312" w:eastAsia="仿宋_GB2312" w:hint="eastAsia"/>
          <w:sz w:val="32"/>
          <w:szCs w:val="32"/>
        </w:rPr>
        <w:t>件，其中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年审结</w:t>
      </w:r>
      <w:r>
        <w:rPr>
          <w:rFonts w:ascii="仿宋_GB2312" w:eastAsia="仿宋_GB2312"/>
          <w:sz w:val="32"/>
          <w:szCs w:val="32"/>
        </w:rPr>
        <w:t>1355</w:t>
      </w:r>
      <w:r>
        <w:rPr>
          <w:rFonts w:ascii="仿宋_GB2312" w:eastAsia="仿宋_GB2312" w:hint="eastAsia"/>
          <w:sz w:val="32"/>
          <w:szCs w:val="32"/>
        </w:rPr>
        <w:t>件，调撤率达</w:t>
      </w:r>
      <w:r>
        <w:rPr>
          <w:rFonts w:ascii="仿宋_GB2312" w:eastAsia="仿宋_GB2312"/>
          <w:sz w:val="32"/>
          <w:szCs w:val="32"/>
        </w:rPr>
        <w:t>82.6%</w:t>
      </w:r>
      <w:r>
        <w:rPr>
          <w:rFonts w:ascii="仿宋_GB2312" w:eastAsia="仿宋_GB2312" w:hint="eastAsia"/>
          <w:sz w:val="32"/>
          <w:szCs w:val="32"/>
        </w:rPr>
        <w:t>，有力促进家庭和谐、社会稳定。审结买卖、合伙、民间借贷等合同纠纷案件</w:t>
      </w:r>
      <w:r>
        <w:rPr>
          <w:rFonts w:ascii="仿宋_GB2312" w:eastAsia="仿宋_GB2312"/>
          <w:sz w:val="32"/>
          <w:szCs w:val="32"/>
        </w:rPr>
        <w:t>1</w:t>
      </w:r>
      <w:r w:rsidR="008D27DC">
        <w:rPr>
          <w:rFonts w:ascii="仿宋_GB2312" w:eastAsia="仿宋_GB2312" w:hint="eastAsia"/>
          <w:sz w:val="32"/>
          <w:szCs w:val="32"/>
        </w:rPr>
        <w:t>.4万</w:t>
      </w:r>
      <w:r>
        <w:rPr>
          <w:rFonts w:ascii="仿宋_GB2312" w:eastAsia="仿宋_GB2312" w:hint="eastAsia"/>
          <w:sz w:val="32"/>
          <w:szCs w:val="32"/>
        </w:rPr>
        <w:t>件，切实保护交易安全和诚信者合法权益。审结房地产开发、商品房买卖等涉房地产案件</w:t>
      </w:r>
      <w:r>
        <w:rPr>
          <w:rFonts w:ascii="仿宋_GB2312" w:eastAsia="仿宋_GB2312"/>
          <w:sz w:val="32"/>
          <w:szCs w:val="32"/>
        </w:rPr>
        <w:t>779</w:t>
      </w:r>
      <w:r>
        <w:rPr>
          <w:rFonts w:ascii="仿宋_GB2312" w:eastAsia="仿宋_GB2312" w:hint="eastAsia"/>
          <w:sz w:val="32"/>
          <w:szCs w:val="32"/>
        </w:rPr>
        <w:t>件，妥善处理“铂金嘉园”“金色嘉园”等群体性购房纠纷，促进房地产市场健康发展。</w:t>
      </w:r>
    </w:p>
    <w:p w:rsidR="00B76ABC" w:rsidRDefault="00B76ABC" w:rsidP="00E920CD">
      <w:pPr>
        <w:spacing w:line="560" w:lineRule="exact"/>
        <w:ind w:firstLine="660"/>
        <w:rPr>
          <w:rFonts w:ascii="楷体_GB2312" w:eastAsia="楷体_GB2312" w:hAnsi="楷体" w:cs="楷体"/>
          <w:b/>
          <w:bCs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监督支持法治政府建设。</w:t>
      </w:r>
      <w:r>
        <w:rPr>
          <w:rFonts w:ascii="仿宋_GB2312" w:eastAsia="仿宋_GB2312" w:hint="eastAsia"/>
          <w:sz w:val="32"/>
          <w:szCs w:val="32"/>
        </w:rPr>
        <w:t>共审结行政诉讼案件</w:t>
      </w:r>
      <w:r>
        <w:rPr>
          <w:rFonts w:ascii="仿宋_GB2312" w:eastAsia="仿宋_GB2312"/>
          <w:sz w:val="32"/>
          <w:szCs w:val="32"/>
        </w:rPr>
        <w:t>423</w:t>
      </w:r>
      <w:r>
        <w:rPr>
          <w:rFonts w:ascii="仿宋_GB2312" w:eastAsia="仿宋_GB2312" w:hint="eastAsia"/>
          <w:sz w:val="32"/>
          <w:szCs w:val="32"/>
        </w:rPr>
        <w:t>件，其中新《行政诉讼法》施行后新收行政诉讼案件</w:t>
      </w:r>
      <w:r>
        <w:rPr>
          <w:rFonts w:ascii="仿宋_GB2312" w:eastAsia="仿宋_GB2312"/>
          <w:sz w:val="32"/>
          <w:szCs w:val="32"/>
        </w:rPr>
        <w:t>225</w:t>
      </w:r>
      <w:r>
        <w:rPr>
          <w:rFonts w:ascii="仿宋_GB2312" w:eastAsia="仿宋_GB2312" w:hint="eastAsia"/>
          <w:sz w:val="32"/>
          <w:szCs w:val="32"/>
        </w:rPr>
        <w:t>件，审结</w:t>
      </w:r>
      <w:r>
        <w:rPr>
          <w:rFonts w:ascii="仿宋_GB2312" w:eastAsia="仿宋_GB2312"/>
          <w:sz w:val="32"/>
          <w:szCs w:val="32"/>
        </w:rPr>
        <w:t>235</w:t>
      </w:r>
      <w:r>
        <w:rPr>
          <w:rFonts w:ascii="仿宋_GB2312" w:eastAsia="仿宋_GB2312" w:hint="eastAsia"/>
          <w:sz w:val="32"/>
          <w:szCs w:val="32"/>
        </w:rPr>
        <w:t>件，同比增加</w:t>
      </w:r>
      <w:r>
        <w:rPr>
          <w:rFonts w:ascii="仿宋_GB2312" w:eastAsia="仿宋_GB2312"/>
          <w:sz w:val="32"/>
          <w:szCs w:val="32"/>
        </w:rPr>
        <w:t>150%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110.3%</w:t>
      </w:r>
      <w:r>
        <w:rPr>
          <w:rFonts w:ascii="仿宋_GB2312" w:eastAsia="仿宋_GB2312" w:hint="eastAsia"/>
          <w:sz w:val="32"/>
          <w:szCs w:val="32"/>
        </w:rPr>
        <w:t>。审查计生、土地、环保等非诉案件</w:t>
      </w:r>
      <w:r>
        <w:rPr>
          <w:rFonts w:ascii="仿宋_GB2312" w:eastAsia="仿宋_GB2312"/>
          <w:sz w:val="32"/>
          <w:szCs w:val="32"/>
        </w:rPr>
        <w:t>1452</w:t>
      </w:r>
      <w:r>
        <w:rPr>
          <w:rFonts w:ascii="仿宋_GB2312" w:eastAsia="仿宋_GB2312" w:hint="eastAsia"/>
          <w:sz w:val="32"/>
          <w:szCs w:val="32"/>
        </w:rPr>
        <w:t>件，准予执行</w:t>
      </w:r>
      <w:r>
        <w:rPr>
          <w:rFonts w:ascii="仿宋_GB2312" w:eastAsia="仿宋_GB2312"/>
          <w:sz w:val="32"/>
          <w:szCs w:val="32"/>
        </w:rPr>
        <w:t>1266</w:t>
      </w:r>
      <w:r>
        <w:rPr>
          <w:rFonts w:ascii="仿宋_GB2312" w:eastAsia="仿宋_GB2312" w:hint="eastAsia"/>
          <w:sz w:val="32"/>
          <w:szCs w:val="32"/>
        </w:rPr>
        <w:t>件。注重通过协调、调解等方式实质性化解行政争议，五年行政机关败诉率和经协调促成和解撤诉率分别为</w:t>
      </w:r>
      <w:r>
        <w:rPr>
          <w:rFonts w:ascii="仿宋_GB2312" w:eastAsia="仿宋_GB2312"/>
          <w:sz w:val="32"/>
          <w:szCs w:val="32"/>
        </w:rPr>
        <w:t>18.5%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33.3%</w:t>
      </w:r>
      <w:r>
        <w:rPr>
          <w:rFonts w:ascii="仿宋_GB2312" w:eastAsia="仿宋_GB2312" w:hint="eastAsia"/>
          <w:sz w:val="32"/>
          <w:szCs w:val="32"/>
        </w:rPr>
        <w:t>，其中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年该两项比率分别为</w:t>
      </w:r>
      <w:r>
        <w:rPr>
          <w:rFonts w:ascii="仿宋_GB2312" w:eastAsia="仿宋_GB2312"/>
          <w:sz w:val="32"/>
          <w:szCs w:val="32"/>
        </w:rPr>
        <w:t>12.8%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39.2%</w:t>
      </w:r>
      <w:r>
        <w:rPr>
          <w:rFonts w:ascii="仿宋_GB2312" w:eastAsia="仿宋_GB2312" w:hint="eastAsia"/>
          <w:sz w:val="32"/>
          <w:szCs w:val="32"/>
        </w:rPr>
        <w:t>，有力支持政府依法行政。推进落实行政机关负责人出庭应诉制度，新法施行以来共出庭应诉</w:t>
      </w:r>
      <w:r>
        <w:rPr>
          <w:rFonts w:ascii="仿宋_GB2312" w:eastAsia="仿宋_GB2312"/>
          <w:sz w:val="32"/>
          <w:szCs w:val="32"/>
        </w:rPr>
        <w:t>167</w:t>
      </w:r>
      <w:r>
        <w:rPr>
          <w:rFonts w:ascii="仿宋_GB2312" w:eastAsia="仿宋_GB2312" w:hint="eastAsia"/>
          <w:sz w:val="32"/>
          <w:szCs w:val="32"/>
        </w:rPr>
        <w:t>人次，出庭率</w:t>
      </w:r>
      <w:r>
        <w:rPr>
          <w:rFonts w:ascii="仿宋_GB2312" w:eastAsia="仿宋_GB2312"/>
          <w:sz w:val="32"/>
          <w:szCs w:val="32"/>
        </w:rPr>
        <w:t>88.4%</w:t>
      </w:r>
      <w:r>
        <w:rPr>
          <w:rFonts w:ascii="仿宋_GB2312" w:eastAsia="仿宋_GB2312" w:hint="eastAsia"/>
          <w:sz w:val="32"/>
          <w:szCs w:val="32"/>
        </w:rPr>
        <w:t>。加强司法与行政良性互动，建立健全“府院互动四大机制群”，共召开预防</w:t>
      </w:r>
      <w:r>
        <w:rPr>
          <w:rFonts w:ascii="仿宋_GB2312" w:eastAsia="仿宋_GB2312" w:hint="eastAsia"/>
          <w:sz w:val="32"/>
          <w:szCs w:val="32"/>
        </w:rPr>
        <w:lastRenderedPageBreak/>
        <w:t>化解行政争议、败诉案件责任追究等府院联席会议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次，发布行政审判白皮书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次，主动</w:t>
      </w:r>
      <w:r>
        <w:rPr>
          <w:rFonts w:ascii="仿宋_GB2312" w:eastAsia="仿宋_GB2312" w:hAnsi="仿宋" w:cs="仿宋_GB2312" w:hint="eastAsia"/>
          <w:sz w:val="32"/>
          <w:szCs w:val="32"/>
        </w:rPr>
        <w:t>向行政机关发送司法建议</w:t>
      </w:r>
      <w:r>
        <w:rPr>
          <w:rFonts w:ascii="仿宋_GB2312" w:eastAsia="仿宋_GB2312" w:hAnsi="仿宋" w:cs="仿宋_GB2312"/>
          <w:sz w:val="32"/>
          <w:szCs w:val="32"/>
        </w:rPr>
        <w:t>108</w:t>
      </w:r>
      <w:r>
        <w:rPr>
          <w:rFonts w:ascii="仿宋_GB2312" w:eastAsia="仿宋_GB2312" w:hAnsi="仿宋" w:cs="仿宋_GB2312" w:hint="eastAsia"/>
          <w:sz w:val="32"/>
          <w:szCs w:val="32"/>
        </w:rPr>
        <w:t>份，</w:t>
      </w:r>
      <w:r>
        <w:rPr>
          <w:rFonts w:ascii="仿宋_GB2312" w:eastAsia="仿宋_GB2312" w:hint="eastAsia"/>
          <w:sz w:val="32"/>
          <w:szCs w:val="32"/>
        </w:rPr>
        <w:t>并为行政执法人员编印典型案例提示手册，开展庭审观摩、执法培训等活动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余次，切实推进法治政府建设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:rsidR="00B76ABC" w:rsidRDefault="00B76ABC" w:rsidP="00E920CD">
      <w:pPr>
        <w:spacing w:line="560" w:lineRule="exact"/>
        <w:ind w:firstLine="660"/>
        <w:rPr>
          <w:rFonts w:ascii="楷体_GB2312" w:eastAsia="楷体_GB2312" w:hAnsi="楷体" w:cs="楷体"/>
          <w:b/>
          <w:bCs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内修外联治理执行难题。</w:t>
      </w:r>
      <w:r>
        <w:rPr>
          <w:rFonts w:ascii="仿宋_GB2312" w:eastAsia="仿宋_GB2312" w:hint="eastAsia"/>
          <w:sz w:val="32"/>
          <w:szCs w:val="32"/>
        </w:rPr>
        <w:t>共执结各类案件</w:t>
      </w:r>
      <w:r>
        <w:rPr>
          <w:rFonts w:ascii="仿宋_GB2312" w:eastAsia="仿宋_GB2312"/>
          <w:sz w:val="32"/>
          <w:szCs w:val="32"/>
        </w:rPr>
        <w:t>1.62</w:t>
      </w:r>
      <w:r>
        <w:rPr>
          <w:rFonts w:ascii="仿宋_GB2312" w:eastAsia="仿宋_GB2312" w:hint="eastAsia"/>
          <w:sz w:val="32"/>
          <w:szCs w:val="32"/>
        </w:rPr>
        <w:t>万件，执行到位</w:t>
      </w:r>
      <w:r>
        <w:rPr>
          <w:rFonts w:ascii="仿宋_GB2312" w:eastAsia="仿宋_GB2312"/>
          <w:sz w:val="32"/>
          <w:szCs w:val="32"/>
        </w:rPr>
        <w:t>20.2</w:t>
      </w:r>
      <w:r>
        <w:rPr>
          <w:rFonts w:ascii="仿宋_GB2312" w:eastAsia="仿宋_GB2312" w:hint="eastAsia"/>
          <w:sz w:val="32"/>
          <w:szCs w:val="32"/>
        </w:rPr>
        <w:t>亿元，其中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年执结</w:t>
      </w:r>
      <w:r>
        <w:rPr>
          <w:rFonts w:ascii="仿宋_GB2312" w:eastAsia="仿宋_GB2312"/>
          <w:sz w:val="32"/>
          <w:szCs w:val="32"/>
        </w:rPr>
        <w:t>3720</w:t>
      </w:r>
      <w:r>
        <w:rPr>
          <w:rFonts w:ascii="仿宋_GB2312" w:eastAsia="仿宋_GB2312" w:hint="eastAsia"/>
          <w:sz w:val="32"/>
          <w:szCs w:val="32"/>
        </w:rPr>
        <w:t>件，执行到位</w:t>
      </w:r>
      <w:r>
        <w:rPr>
          <w:rFonts w:ascii="仿宋_GB2312" w:eastAsia="仿宋_GB2312"/>
          <w:sz w:val="32"/>
          <w:szCs w:val="32"/>
        </w:rPr>
        <w:t>6.4</w:t>
      </w:r>
      <w:r>
        <w:rPr>
          <w:rFonts w:ascii="仿宋_GB2312" w:eastAsia="仿宋_GB2312" w:hint="eastAsia"/>
          <w:sz w:val="32"/>
          <w:szCs w:val="32"/>
        </w:rPr>
        <w:t>亿元，同比增加</w:t>
      </w:r>
      <w:r>
        <w:rPr>
          <w:rFonts w:ascii="仿宋_GB2312" w:eastAsia="仿宋_GB2312"/>
          <w:sz w:val="32"/>
          <w:szCs w:val="32"/>
        </w:rPr>
        <w:t>9.1%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46.4%</w:t>
      </w:r>
      <w:r>
        <w:rPr>
          <w:rFonts w:ascii="仿宋_GB2312" w:eastAsia="仿宋_GB2312" w:hint="eastAsia"/>
          <w:sz w:val="32"/>
          <w:szCs w:val="32"/>
        </w:rPr>
        <w:t>。紧盯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年在全市率先实现基本解决执行难的目标，推动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家单位部门成立县级领导小组，全面支持法院执行工作。将执行队伍倍增至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人，建立健全全县村居执行联络等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项长效联动机制，执行力量明显加强。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新建动态财产申报和执行悬赏奖励机制，完善</w:t>
      </w:r>
      <w:r>
        <w:rPr>
          <w:rFonts w:ascii="仿宋_GB2312" w:eastAsia="仿宋_GB2312" w:hint="eastAsia"/>
          <w:sz w:val="32"/>
          <w:szCs w:val="32"/>
        </w:rPr>
        <w:t>与银行、房产、国土等单位的“点对点”查控系统，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五年共冻结存款</w:t>
      </w:r>
      <w:r>
        <w:rPr>
          <w:rFonts w:ascii="仿宋_GB2312" w:eastAsia="仿宋_GB2312" w:hAnsi="仿宋"/>
          <w:color w:val="000000"/>
          <w:sz w:val="32"/>
          <w:szCs w:val="32"/>
        </w:rPr>
        <w:t>8.1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亿元，查封扣押房产、车辆、股权等财物</w:t>
      </w:r>
      <w:r>
        <w:rPr>
          <w:rFonts w:ascii="仿宋_GB2312" w:eastAsia="仿宋_GB2312" w:hAnsi="仿宋"/>
          <w:color w:val="000000"/>
          <w:sz w:val="32"/>
          <w:szCs w:val="32"/>
        </w:rPr>
        <w:t>2025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件。落实</w:t>
      </w:r>
      <w:r>
        <w:rPr>
          <w:rFonts w:ascii="仿宋_GB2312" w:eastAsia="仿宋_GB2312" w:hAnsi="仿宋"/>
          <w:color w:val="000000"/>
          <w:sz w:val="32"/>
          <w:szCs w:val="32"/>
        </w:rPr>
        <w:t>24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小时执行备勤，依托公安协控平台抓获逃避执行的被执行人</w:t>
      </w:r>
      <w:r>
        <w:rPr>
          <w:rFonts w:ascii="仿宋_GB2312" w:eastAsia="仿宋_GB2312" w:hAnsi="仿宋"/>
          <w:color w:val="000000"/>
          <w:sz w:val="32"/>
          <w:szCs w:val="32"/>
        </w:rPr>
        <w:t>436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人。加强信用惩戒，共发送征信信息</w:t>
      </w:r>
      <w:r>
        <w:rPr>
          <w:rFonts w:ascii="仿宋_GB2312" w:eastAsia="仿宋_GB2312" w:hAnsi="仿宋"/>
          <w:color w:val="000000"/>
          <w:sz w:val="32"/>
          <w:szCs w:val="32"/>
        </w:rPr>
        <w:t>8732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例，各种渠道曝光“老赖”</w:t>
      </w:r>
      <w:r>
        <w:rPr>
          <w:rFonts w:ascii="仿宋_GB2312" w:eastAsia="仿宋_GB2312" w:hAnsi="仿宋"/>
          <w:color w:val="000000"/>
          <w:sz w:val="32"/>
          <w:szCs w:val="32"/>
        </w:rPr>
        <w:t>1469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人，让失信者在出国出境、贷款置业、投标融资、高消费等方面处处受限。严厉打击拒执行为，共罚款、拘留</w:t>
      </w:r>
      <w:r>
        <w:rPr>
          <w:rFonts w:ascii="仿宋_GB2312" w:eastAsia="仿宋_GB2312" w:hAnsi="仿宋"/>
          <w:color w:val="000000"/>
          <w:sz w:val="32"/>
          <w:szCs w:val="32"/>
        </w:rPr>
        <w:t>331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人，移送公安机关侦查拒执犯罪案件</w:t>
      </w:r>
      <w:r>
        <w:rPr>
          <w:rFonts w:ascii="仿宋_GB2312" w:eastAsia="仿宋_GB2312" w:hAnsi="仿宋"/>
          <w:color w:val="000000"/>
          <w:sz w:val="32"/>
          <w:szCs w:val="32"/>
        </w:rPr>
        <w:t>42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件</w:t>
      </w:r>
      <w:r>
        <w:rPr>
          <w:rFonts w:ascii="仿宋_GB2312" w:eastAsia="仿宋_GB2312" w:hAnsi="仿宋"/>
          <w:color w:val="000000"/>
          <w:sz w:val="32"/>
          <w:szCs w:val="32"/>
        </w:rPr>
        <w:t>44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人，追究刑事责任</w:t>
      </w:r>
      <w:r>
        <w:rPr>
          <w:rFonts w:ascii="仿宋_GB2312" w:eastAsia="仿宋_GB2312" w:hAnsi="仿宋"/>
          <w:color w:val="000000"/>
          <w:sz w:val="32"/>
          <w:szCs w:val="32"/>
        </w:rPr>
        <w:t>13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件</w:t>
      </w:r>
      <w:r>
        <w:rPr>
          <w:rFonts w:ascii="仿宋_GB2312" w:eastAsia="仿宋_GB2312" w:hAnsi="仿宋"/>
          <w:color w:val="000000"/>
          <w:sz w:val="32"/>
          <w:szCs w:val="32"/>
        </w:rPr>
        <w:t>14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人。专项清理执行款、刑事罚没款等遗留案款</w:t>
      </w:r>
      <w:r>
        <w:rPr>
          <w:rFonts w:ascii="仿宋_GB2312" w:eastAsia="仿宋_GB2312" w:hAnsi="仿宋"/>
          <w:color w:val="000000"/>
          <w:sz w:val="32"/>
          <w:szCs w:val="32"/>
        </w:rPr>
        <w:t>8400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余万元。</w:t>
      </w:r>
      <w:r>
        <w:rPr>
          <w:rFonts w:ascii="仿宋_GB2312" w:eastAsia="仿宋_GB2312" w:hAnsi="仿宋" w:hint="eastAsia"/>
          <w:sz w:val="32"/>
          <w:szCs w:val="32"/>
        </w:rPr>
        <w:t>严格管控案件终结执行程序，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对近五年程序终结案件进行“回头看”，共恢复执行</w:t>
      </w:r>
      <w:r>
        <w:rPr>
          <w:rFonts w:ascii="仿宋_GB2312" w:eastAsia="仿宋_GB2312" w:hAnsi="仿宋"/>
          <w:color w:val="000000"/>
          <w:sz w:val="32"/>
          <w:szCs w:val="32"/>
        </w:rPr>
        <w:t>1260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件，执行到位</w:t>
      </w:r>
      <w:r>
        <w:rPr>
          <w:rFonts w:ascii="仿宋_GB2312" w:eastAsia="仿宋_GB2312" w:hAnsi="仿宋"/>
          <w:color w:val="000000"/>
          <w:sz w:val="32"/>
          <w:szCs w:val="32"/>
        </w:rPr>
        <w:t>2.3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亿元。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推行</w:t>
      </w:r>
      <w:r>
        <w:rPr>
          <w:rFonts w:ascii="仿宋_GB2312" w:eastAsia="仿宋_GB2312" w:hAnsi="仿宋" w:hint="eastAsia"/>
          <w:sz w:val="32"/>
          <w:szCs w:val="32"/>
        </w:rPr>
        <w:t>分阶段开展财产查控和实施执行模式，全程监管执行流程节点，确保执行工作规范有序。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建立特殊主体身份查询机制，将执行情况纳入候选资格审查、晋级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晋职、评先评优等“一票否决”范围，</w:t>
      </w:r>
      <w:r>
        <w:rPr>
          <w:rFonts w:ascii="仿宋_GB2312" w:eastAsia="仿宋_GB2312" w:hAnsi="仿宋"/>
          <w:color w:val="000000"/>
          <w:sz w:val="32"/>
          <w:szCs w:val="32"/>
        </w:rPr>
        <w:t>2016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年共否决候选资格</w:t>
      </w:r>
      <w:r>
        <w:rPr>
          <w:rFonts w:ascii="仿宋_GB2312" w:eastAsia="仿宋_GB2312" w:hAnsi="仿宋"/>
          <w:color w:val="000000"/>
          <w:sz w:val="32"/>
          <w:szCs w:val="32"/>
        </w:rPr>
        <w:t>35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人，执结涉党员干部、代表委员、公职人员、村干部案件</w:t>
      </w:r>
      <w:r>
        <w:rPr>
          <w:rFonts w:ascii="仿宋_GB2312" w:eastAsia="仿宋_GB2312" w:hAnsi="仿宋"/>
          <w:color w:val="000000"/>
          <w:sz w:val="32"/>
          <w:szCs w:val="32"/>
        </w:rPr>
        <w:t>209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件，执行到位</w:t>
      </w:r>
      <w:r>
        <w:rPr>
          <w:rFonts w:ascii="仿宋_GB2312" w:eastAsia="仿宋_GB2312" w:hAnsi="仿宋"/>
          <w:color w:val="000000"/>
          <w:sz w:val="32"/>
          <w:szCs w:val="32"/>
        </w:rPr>
        <w:t>6910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B76ABC" w:rsidRDefault="00B76ABC" w:rsidP="00E920CD">
      <w:pPr>
        <w:spacing w:line="56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三、司法为民，满足群众多元需求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持续完善便民利民举措。</w:t>
      </w:r>
      <w:r>
        <w:rPr>
          <w:rFonts w:ascii="仿宋_GB2312" w:eastAsia="仿宋_GB2312" w:hint="eastAsia"/>
          <w:sz w:val="32"/>
          <w:szCs w:val="32"/>
        </w:rPr>
        <w:t>构建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法院、法庭、镇（街道）巡回办案点和乡（社区）诉讼服务点四位一体的诉讼服务网络，建立健全法庭辖区联络员、“车载法庭”巡回审判等便民机制。五年来，共开展上门立案、巡回审判、午间法庭、假日法庭等便民活动</w:t>
      </w:r>
      <w:r>
        <w:rPr>
          <w:rFonts w:ascii="仿宋_GB2312" w:eastAsia="仿宋_GB2312" w:hAnsi="Times New Roman"/>
          <w:snapToGrid w:val="0"/>
          <w:sz w:val="32"/>
          <w:szCs w:val="32"/>
        </w:rPr>
        <w:t>480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余次，切实减轻群众诉讼负担。加强司法救助，在全市首推婚姻抚养案件补偿金分期投保、交通肇事案件先予赔偿等帮扶措施，近年来共为</w:t>
      </w:r>
      <w:r>
        <w:rPr>
          <w:rFonts w:ascii="仿宋_GB2312" w:eastAsia="仿宋_GB2312" w:hAnsi="Times New Roman"/>
          <w:snapToGrid w:val="0"/>
          <w:sz w:val="32"/>
          <w:szCs w:val="32"/>
        </w:rPr>
        <w:t>412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名当事人缓减免交诉讼费</w:t>
      </w:r>
      <w:r>
        <w:rPr>
          <w:rFonts w:ascii="仿宋_GB2312" w:eastAsia="仿宋_GB2312" w:hAnsi="Times New Roman"/>
          <w:snapToGrid w:val="0"/>
          <w:sz w:val="32"/>
          <w:szCs w:val="32"/>
        </w:rPr>
        <w:t>181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万元，为</w:t>
      </w:r>
      <w:r>
        <w:rPr>
          <w:rFonts w:ascii="仿宋_GB2312" w:eastAsia="仿宋_GB2312" w:hAnsi="Times New Roman"/>
          <w:snapToGrid w:val="0"/>
          <w:sz w:val="32"/>
          <w:szCs w:val="32"/>
        </w:rPr>
        <w:t>70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名困难当事人发放司法救助金</w:t>
      </w:r>
      <w:r>
        <w:rPr>
          <w:rFonts w:ascii="仿宋_GB2312" w:eastAsia="仿宋_GB2312" w:hAnsi="Times New Roman"/>
          <w:snapToGrid w:val="0"/>
          <w:sz w:val="32"/>
          <w:szCs w:val="32"/>
        </w:rPr>
        <w:t>206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万元。会同县司法局建立申诉案件法律援助机制，在立案大厅设立法律援助工作站，为来院群众提供法律咨询和法律援助。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全面深化司法公开透明。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“阳光司法实施细则</w:t>
      </w:r>
      <w:r>
        <w:rPr>
          <w:rFonts w:ascii="仿宋_GB2312" w:eastAsia="仿宋_GB2312" w:hAnsi="Times New Roman"/>
          <w:snapToGrid w:val="0"/>
          <w:sz w:val="32"/>
          <w:szCs w:val="32"/>
        </w:rPr>
        <w:t>40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条”，持续推进审判流程、裁判文书、执行信息三大公开平台建设，依法主动公开所有应当公开的司法信息。五年来，共上网公布裁判文书</w:t>
      </w:r>
      <w:r>
        <w:rPr>
          <w:rFonts w:ascii="仿宋_GB2312" w:eastAsia="仿宋_GB2312" w:hAnsi="Times New Roman"/>
          <w:snapToGrid w:val="0"/>
          <w:sz w:val="32"/>
          <w:szCs w:val="32"/>
        </w:rPr>
        <w:t>2.5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万份，向当事人发送审判执行流程信息</w:t>
      </w:r>
      <w:r>
        <w:rPr>
          <w:rFonts w:ascii="仿宋_GB2312" w:eastAsia="仿宋_GB2312" w:hAnsi="Times New Roman"/>
          <w:snapToGrid w:val="0"/>
          <w:sz w:val="32"/>
          <w:szCs w:val="32"/>
        </w:rPr>
        <w:t>4.8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万条，通过新浪微博、庭审直播网等平台直播庭审</w:t>
      </w:r>
      <w:r>
        <w:rPr>
          <w:rFonts w:ascii="仿宋_GB2312" w:eastAsia="仿宋_GB2312" w:hAnsi="Times New Roman"/>
          <w:snapToGrid w:val="0"/>
          <w:sz w:val="32"/>
          <w:szCs w:val="32"/>
        </w:rPr>
        <w:t>29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次。在全省率先全面推行公开透明的网络司法拍卖，累计通过淘宝网拍卖房产、商铺、股权、车辆等标的物</w:t>
      </w:r>
      <w:r>
        <w:rPr>
          <w:rFonts w:ascii="仿宋_GB2312" w:eastAsia="仿宋_GB2312" w:hAnsi="Times New Roman"/>
          <w:snapToGrid w:val="0"/>
          <w:sz w:val="32"/>
          <w:szCs w:val="32"/>
        </w:rPr>
        <w:t>641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件，成交总额</w:t>
      </w:r>
      <w:r>
        <w:rPr>
          <w:rFonts w:ascii="仿宋_GB2312" w:eastAsia="仿宋_GB2312" w:hAnsi="Times New Roman"/>
          <w:snapToGrid w:val="0"/>
          <w:sz w:val="32"/>
          <w:szCs w:val="32"/>
        </w:rPr>
        <w:t>5.8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亿元，成交率</w:t>
      </w:r>
      <w:r>
        <w:rPr>
          <w:rFonts w:ascii="仿宋_GB2312" w:eastAsia="仿宋_GB2312" w:hAnsi="Times New Roman"/>
          <w:snapToGrid w:val="0"/>
          <w:sz w:val="32"/>
          <w:szCs w:val="32"/>
        </w:rPr>
        <w:t>95%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，平均溢价率</w:t>
      </w:r>
      <w:r>
        <w:rPr>
          <w:rFonts w:ascii="仿宋_GB2312" w:eastAsia="仿宋_GB2312" w:hAnsi="Times New Roman"/>
          <w:snapToGrid w:val="0"/>
          <w:sz w:val="32"/>
          <w:szCs w:val="32"/>
        </w:rPr>
        <w:t>43.2%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，为当事人节省佣金</w:t>
      </w:r>
      <w:r>
        <w:rPr>
          <w:rFonts w:ascii="仿宋_GB2312" w:eastAsia="仿宋_GB2312" w:hAnsi="Times New Roman"/>
          <w:snapToGrid w:val="0"/>
          <w:sz w:val="32"/>
          <w:szCs w:val="32"/>
        </w:rPr>
        <w:t>1605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万元。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切实加强基层基础建设。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开展立案接待窗口规范化建设，改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lastRenderedPageBreak/>
        <w:t>造诉讼服务大厅，完善诉讼引导、审查咨询、查阅档案、评估鉴定、缴费退费等服务功能。建成供当事人午休避暑、等候诉讼、缓和矛盾的“当事人之家”，得到最高法院肯定推广。岩头、瓯北、桥头、碧莲法庭相继迁入新审判楼，新刑事审判楼顺利落成，“两庭”建设成效明显。完成数字审委会及全部</w:t>
      </w:r>
      <w:r>
        <w:rPr>
          <w:rFonts w:ascii="仿宋_GB2312" w:eastAsia="仿宋_GB2312" w:hAnsi="Times New Roman"/>
          <w:snapToGrid w:val="0"/>
          <w:sz w:val="32"/>
          <w:szCs w:val="32"/>
        </w:rPr>
        <w:t>21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个高清数字法庭的改造，研发刑事涉案物品管理、档案查询在线审批等系统，推广应用“智慧法院”等优质软件，为执法办案提供科技支撑。完成</w:t>
      </w:r>
      <w:r>
        <w:rPr>
          <w:rFonts w:ascii="仿宋_GB2312" w:eastAsia="仿宋_GB2312" w:hAnsi="Times New Roman"/>
          <w:snapToGrid w:val="0"/>
          <w:sz w:val="32"/>
          <w:szCs w:val="32"/>
        </w:rPr>
        <w:t>1949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年以来</w:t>
      </w:r>
      <w:r>
        <w:rPr>
          <w:rFonts w:ascii="仿宋_GB2312" w:eastAsia="仿宋_GB2312" w:hAnsi="Times New Roman"/>
          <w:snapToGrid w:val="0"/>
          <w:sz w:val="32"/>
          <w:szCs w:val="32"/>
        </w:rPr>
        <w:t>11.8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万卷档案的电子扫描任务，实现全部档案电子化调卷，并顺利通过全省示范数字化档案室评审。</w:t>
      </w:r>
    </w:p>
    <w:p w:rsidR="00B76ABC" w:rsidRDefault="00B76ABC" w:rsidP="006926D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四、改革创新，</w:t>
      </w:r>
      <w:r>
        <w:rPr>
          <w:rFonts w:ascii="黑体" w:eastAsia="黑体" w:hAnsi="黑体" w:cs="黑体" w:hint="eastAsia"/>
          <w:sz w:val="32"/>
          <w:szCs w:val="32"/>
        </w:rPr>
        <w:t>促进司法公正高效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不断完善审判工作机制。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严格落实立案登记制，对</w:t>
      </w:r>
      <w:r>
        <w:rPr>
          <w:rFonts w:ascii="仿宋_GB2312" w:eastAsia="仿宋_GB2312" w:hAnsi="Times New Roman"/>
          <w:snapToGrid w:val="0"/>
          <w:sz w:val="32"/>
          <w:szCs w:val="32"/>
        </w:rPr>
        <w:t>98%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以上的案件予以当场立案，对无法当场立案的案件予以登记，并一次性告知补正材料，确保有案必立，有诉必理。推进庭审记录方式改革</w:t>
      </w:r>
      <w:r>
        <w:rPr>
          <w:rFonts w:ascii="仿宋_GB2312" w:eastAsia="仿宋_GB2312" w:hAnsi="仿宋" w:hint="eastAsia"/>
          <w:sz w:val="32"/>
          <w:szCs w:val="32"/>
        </w:rPr>
        <w:t>，对</w:t>
      </w:r>
      <w:r>
        <w:rPr>
          <w:rFonts w:ascii="仿宋_GB2312" w:eastAsia="仿宋_GB2312" w:hAnsi="仿宋"/>
          <w:sz w:val="32"/>
          <w:szCs w:val="32"/>
        </w:rPr>
        <w:t>1626</w:t>
      </w:r>
      <w:r>
        <w:rPr>
          <w:rFonts w:ascii="仿宋_GB2312" w:eastAsia="仿宋_GB2312" w:hAnsi="仿宋" w:hint="eastAsia"/>
          <w:sz w:val="32"/>
          <w:szCs w:val="32"/>
        </w:rPr>
        <w:t>件案件运用录音录像方式代替书面记录庭审。改革推广表格式、简式裁判文书</w:t>
      </w:r>
      <w:r>
        <w:rPr>
          <w:rFonts w:ascii="仿宋_GB2312" w:eastAsia="仿宋_GB2312" w:hAnsi="仿宋"/>
          <w:sz w:val="32"/>
          <w:szCs w:val="32"/>
        </w:rPr>
        <w:t>1500</w:t>
      </w:r>
      <w:r>
        <w:rPr>
          <w:rFonts w:ascii="仿宋_GB2312" w:eastAsia="仿宋_GB2312" w:hAnsi="仿宋" w:hint="eastAsia"/>
          <w:sz w:val="32"/>
          <w:szCs w:val="32"/>
        </w:rPr>
        <w:t>余份，实现繁案精审、简案快审。加强审判监督管理，建立健全常态化审判质效评估、未结案件督办、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发改案件评析、案件质量评查等长效机制，五年来</w:t>
      </w:r>
      <w:r>
        <w:rPr>
          <w:rFonts w:ascii="仿宋_GB2312" w:eastAsia="仿宋_GB2312" w:hAnsi="仿宋" w:hint="eastAsia"/>
          <w:sz w:val="32"/>
          <w:szCs w:val="32"/>
        </w:rPr>
        <w:t>办案质量、效率、效果综合考核排名始终保持全市前列，其中</w:t>
      </w:r>
      <w:r>
        <w:rPr>
          <w:rFonts w:ascii="仿宋_GB2312" w:eastAsia="仿宋_GB2312" w:hAnsi="仿宋"/>
          <w:sz w:val="32"/>
          <w:szCs w:val="32"/>
        </w:rPr>
        <w:t>2016</w:t>
      </w:r>
      <w:r>
        <w:rPr>
          <w:rFonts w:ascii="仿宋_GB2312" w:eastAsia="仿宋_GB2312" w:hAnsi="仿宋" w:hint="eastAsia"/>
          <w:sz w:val="32"/>
          <w:szCs w:val="32"/>
        </w:rPr>
        <w:t>年位居全市首位。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着力改革审判权运行机制。</w:t>
      </w:r>
      <w:r>
        <w:rPr>
          <w:rFonts w:ascii="仿宋_GB2312" w:eastAsia="仿宋_GB2312" w:hAnsi="仿宋" w:hint="eastAsia"/>
          <w:sz w:val="32"/>
          <w:szCs w:val="32"/>
        </w:rPr>
        <w:t>按照最高法院和省高院部署，出台《司法体制改革实施方案》，稳步有序落实法官员额制、司法责任制等基础性改革。圆满完成法官员额制改革，</w:t>
      </w:r>
      <w:r>
        <w:rPr>
          <w:rFonts w:ascii="仿宋_GB2312" w:eastAsia="仿宋_GB2312" w:hAnsi="仿宋"/>
          <w:sz w:val="32"/>
          <w:szCs w:val="32"/>
        </w:rPr>
        <w:t>2016</w:t>
      </w:r>
      <w:r>
        <w:rPr>
          <w:rFonts w:ascii="仿宋_GB2312" w:eastAsia="仿宋_GB2312" w:hAnsi="仿宋" w:hint="eastAsia"/>
          <w:sz w:val="32"/>
          <w:szCs w:val="32"/>
        </w:rPr>
        <w:t>年首批遴选员额法官</w:t>
      </w:r>
      <w:r>
        <w:rPr>
          <w:rFonts w:ascii="仿宋_GB2312" w:eastAsia="仿宋_GB2312" w:hAnsi="仿宋"/>
          <w:sz w:val="32"/>
          <w:szCs w:val="32"/>
        </w:rPr>
        <w:t>41</w:t>
      </w:r>
      <w:r>
        <w:rPr>
          <w:rFonts w:ascii="仿宋_GB2312" w:eastAsia="仿宋_GB2312" w:hAnsi="仿宋" w:hint="eastAsia"/>
          <w:sz w:val="32"/>
          <w:szCs w:val="32"/>
        </w:rPr>
        <w:t>名，确保将优秀法官集中到审判执行一线。突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出主审法官责任制，出台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《法律文书审核签发办法》，</w:t>
      </w:r>
      <w:r>
        <w:rPr>
          <w:rFonts w:ascii="仿宋_GB2312" w:eastAsia="仿宋_GB2312" w:hAnsi="仿宋" w:hint="eastAsia"/>
          <w:sz w:val="32"/>
          <w:szCs w:val="32"/>
        </w:rPr>
        <w:t>缩减院庭领导文书签发权</w:t>
      </w:r>
      <w:r>
        <w:rPr>
          <w:rFonts w:ascii="仿宋_GB2312" w:eastAsia="仿宋_GB2312" w:hint="eastAsia"/>
          <w:sz w:val="32"/>
          <w:szCs w:val="32"/>
        </w:rPr>
        <w:t>限，实现“让审理者裁判、由裁判者负责”。推行院庭领导办案常态化，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年院庭长共办理案件</w:t>
      </w:r>
      <w:r>
        <w:rPr>
          <w:rFonts w:ascii="仿宋_GB2312" w:eastAsia="仿宋_GB2312"/>
          <w:sz w:val="32"/>
          <w:szCs w:val="32"/>
        </w:rPr>
        <w:t>3179</w:t>
      </w:r>
      <w:r>
        <w:rPr>
          <w:rFonts w:ascii="仿宋_GB2312" w:eastAsia="仿宋_GB2312" w:hint="eastAsia"/>
          <w:sz w:val="32"/>
          <w:szCs w:val="32"/>
        </w:rPr>
        <w:t>件，占全院案件的</w:t>
      </w:r>
      <w:r>
        <w:rPr>
          <w:rFonts w:ascii="仿宋_GB2312" w:eastAsia="仿宋_GB2312"/>
          <w:sz w:val="32"/>
          <w:szCs w:val="32"/>
        </w:rPr>
        <w:t>40.2%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大力推进庭审实质化改革。</w:t>
      </w:r>
      <w:r>
        <w:rPr>
          <w:rFonts w:ascii="仿宋_GB2312" w:eastAsia="仿宋_GB2312" w:hAnsi="仿宋" w:hint="eastAsia"/>
          <w:sz w:val="32"/>
          <w:szCs w:val="32"/>
        </w:rPr>
        <w:t>积极</w:t>
      </w:r>
      <w:r>
        <w:rPr>
          <w:rFonts w:ascii="仿宋_GB2312" w:eastAsia="仿宋_GB2312" w:hint="eastAsia"/>
          <w:sz w:val="32"/>
          <w:szCs w:val="32"/>
        </w:rPr>
        <w:t>践行“以审判为中心”的刑事司法理念，</w:t>
      </w:r>
      <w:r>
        <w:rPr>
          <w:rFonts w:ascii="仿宋_GB2312" w:eastAsia="仿宋_GB2312" w:hAnsi="仿宋" w:hint="eastAsia"/>
          <w:sz w:val="32"/>
          <w:szCs w:val="32"/>
        </w:rPr>
        <w:t>联合公安、检察机关共建</w:t>
      </w:r>
      <w:r>
        <w:rPr>
          <w:rFonts w:ascii="仿宋_GB2312" w:eastAsia="仿宋_GB2312" w:hint="eastAsia"/>
          <w:sz w:val="32"/>
          <w:szCs w:val="32"/>
        </w:rPr>
        <w:t>证人出庭作证及保护机制，新建远程视频作证室，专设证人出庭补助经费，共通知证人、鉴定人、侦查人员等出庭作证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人次，充分发挥庭审在查明事实、认定证据、保护诉权、公正裁判等方面的作用。探索建立轻微刑事案件快速办理、被告人认罪认罚从宽等配套机制，</w:t>
      </w:r>
      <w:r w:rsidR="003C0D92"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 w:hint="eastAsia"/>
          <w:sz w:val="32"/>
          <w:szCs w:val="32"/>
        </w:rPr>
        <w:t>快速办案</w:t>
      </w:r>
      <w:r>
        <w:rPr>
          <w:rFonts w:ascii="仿宋_GB2312" w:eastAsia="仿宋_GB2312"/>
          <w:sz w:val="32"/>
          <w:szCs w:val="32"/>
        </w:rPr>
        <w:t>824</w:t>
      </w:r>
      <w:r>
        <w:rPr>
          <w:rFonts w:ascii="仿宋_GB2312" w:eastAsia="仿宋_GB2312" w:hint="eastAsia"/>
          <w:sz w:val="32"/>
          <w:szCs w:val="32"/>
        </w:rPr>
        <w:t>件，平均用时</w:t>
      </w:r>
      <w:r>
        <w:rPr>
          <w:rFonts w:ascii="仿宋_GB2312" w:eastAsia="仿宋_GB2312"/>
          <w:sz w:val="32"/>
          <w:szCs w:val="32"/>
        </w:rPr>
        <w:t>7.4</w:t>
      </w:r>
      <w:r>
        <w:rPr>
          <w:rFonts w:ascii="仿宋_GB2312" w:eastAsia="仿宋_GB2312" w:hint="eastAsia"/>
          <w:sz w:val="32"/>
          <w:szCs w:val="32"/>
        </w:rPr>
        <w:t>天，当庭宣判率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，办案效率明显提升。</w:t>
      </w:r>
    </w:p>
    <w:p w:rsidR="00B76ABC" w:rsidRDefault="00B76ABC" w:rsidP="00E920CD">
      <w:pPr>
        <w:spacing w:line="560" w:lineRule="exact"/>
        <w:ind w:firstLine="6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五、从严治院，着力提升司法公信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深化法院文化建设。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每年举办“法院文化周”、专题读书月等活动，按季编纂《楠溪法苑》院刊，汇编《法官手记》《我们是法治的信使》《厚德崇法》等文化丛书，干警凝聚力和法文化影响力不断提升。连续四年开展</w:t>
      </w:r>
      <w:r>
        <w:rPr>
          <w:rFonts w:ascii="仿宋_GB2312" w:eastAsia="仿宋_GB2312" w:hAnsi="Times New Roman"/>
          <w:snapToGrid w:val="0"/>
          <w:sz w:val="32"/>
          <w:szCs w:val="32"/>
        </w:rPr>
        <w:t>29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期“道德讲堂”，宣讲先进、倡导善行，相关做法被中央政法委吸纳为全国政法队伍建设经验材料。五年来，法院文化建设形成品牌，共接待百余批政法单位来院参观交流，其中</w:t>
      </w:r>
      <w:r>
        <w:rPr>
          <w:rFonts w:ascii="仿宋_GB2312" w:eastAsia="仿宋_GB2312" w:hAnsi="Times New Roman"/>
          <w:snapToGrid w:val="0"/>
          <w:sz w:val="32"/>
          <w:szCs w:val="32"/>
        </w:rPr>
        <w:t>2014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年成为全省政法文化建设经验交流参观点，</w:t>
      </w:r>
      <w:r>
        <w:rPr>
          <w:rFonts w:ascii="仿宋_GB2312" w:eastAsia="仿宋_GB2312" w:hAnsi="Times New Roman"/>
          <w:snapToGrid w:val="0"/>
          <w:sz w:val="32"/>
          <w:szCs w:val="32"/>
        </w:rPr>
        <w:t>2015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年被评为“全国法院文化建设示范单位”和“省级文明单位”。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加强廉政作风建设。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认真开展党的群众路线教育、“三严三实”“两学一做”</w:t>
      </w:r>
      <w:bookmarkStart w:id="0" w:name="_GoBack"/>
      <w:bookmarkEnd w:id="0"/>
      <w:r>
        <w:rPr>
          <w:rFonts w:ascii="仿宋_GB2312" w:eastAsia="仿宋_GB2312" w:hAnsi="Times New Roman" w:hint="eastAsia"/>
          <w:snapToGrid w:val="0"/>
          <w:sz w:val="32"/>
          <w:szCs w:val="32"/>
        </w:rPr>
        <w:t>及“信仰法治、守护公正”等专题教育活动，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lastRenderedPageBreak/>
        <w:t>坚定理想信念，提升政治意识、责任意识和为民意识。深入开展“队伍建设年”等活动，全面查补法院队伍短板。严格落实党风廉政建设“两个责任”，层层开展廉政约谈，及时发现苗头问题。坚持廉政教育“四个一”做法，每年举办“廉洁司法教育周”“</w:t>
      </w:r>
      <w:r>
        <w:rPr>
          <w:rFonts w:ascii="仿宋_GB2312" w:eastAsia="仿宋_GB2312" w:hAnsi="Times New Roman"/>
          <w:snapToGrid w:val="0"/>
          <w:sz w:val="32"/>
          <w:szCs w:val="32"/>
        </w:rPr>
        <w:t>510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思廉日”等活动，切实筑牢廉洁防线。严明各项纪律规定，深入开展“敢担当，树标杆”及执行、法警队伍专项整顿等活动，不断提升司法作风效能。</w:t>
      </w:r>
    </w:p>
    <w:p w:rsidR="00B76ABC" w:rsidRDefault="00B76ABC" w:rsidP="006926D8">
      <w:pPr>
        <w:spacing w:line="560" w:lineRule="exact"/>
        <w:ind w:firstLineChars="200" w:firstLine="643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推进司法能力建设。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抓好法官</w:t>
      </w:r>
      <w:r>
        <w:rPr>
          <w:rFonts w:ascii="仿宋_GB2312" w:eastAsia="仿宋_GB2312" w:hAnsi="宋体" w:hint="eastAsia"/>
          <w:sz w:val="32"/>
        </w:rPr>
        <w:t>庭审驾驭、辨法析理、文书制作、群众工作、调研应用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等“五大能力”建设，不断</w:t>
      </w:r>
      <w:r>
        <w:rPr>
          <w:rFonts w:ascii="仿宋_GB2312" w:eastAsia="仿宋_GB2312" w:hAnsi="宋体" w:hint="eastAsia"/>
          <w:sz w:val="32"/>
        </w:rPr>
        <w:t>提升法官队伍正规化、职业化、专业化水平。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落实“青年法官导师制”，编纂《审判志》《制度汇编》《书记员工作指引》等审判指导丛书，开展优秀庭审和优秀裁判文书评选、青年法官沙龙、庭审观摩评议</w:t>
      </w:r>
      <w:r w:rsidR="003C0D92">
        <w:rPr>
          <w:rFonts w:ascii="仿宋_GB2312" w:eastAsia="仿宋_GB2312" w:hAnsi="Times New Roman" w:hint="eastAsia"/>
          <w:snapToGrid w:val="0"/>
          <w:sz w:val="32"/>
          <w:szCs w:val="32"/>
        </w:rPr>
        <w:t>、审判执行培训等活动，提升干警能力素养。广泛开展司法调研，五年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共有近百篇调研文章在国家、省市级刊物上发表或获奖。</w:t>
      </w:r>
    </w:p>
    <w:p w:rsidR="00B76ABC" w:rsidRDefault="00B76ABC" w:rsidP="00E920CD">
      <w:pPr>
        <w:spacing w:line="560" w:lineRule="exact"/>
        <w:ind w:firstLine="660"/>
        <w:rPr>
          <w:rFonts w:ascii="黑体" w:eastAsia="黑体" w:hAnsi="黑体" w:cs="楷体"/>
          <w:bCs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六、接受监督，切实改进法院工作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t>自觉接受人大监督、政协监督。</w:t>
      </w:r>
      <w:r>
        <w:rPr>
          <w:rFonts w:ascii="仿宋_GB2312" w:eastAsia="仿宋_GB2312" w:hint="eastAsia"/>
          <w:sz w:val="32"/>
          <w:szCs w:val="32"/>
        </w:rPr>
        <w:t>自觉接受人大及其常委会监督和政协民主监督。主动向县人大常委会报告审判执行工作情况，积极配合开展依法履职公正司法专项检查、法官履职评议等活动，认真贯彻相关决议、决定和审议意见。加强与人大代表、政协委员的联络，落实分级定向联络人大代表制度，每月编发《楠溪法讯》短信、每季寄送《楠溪法苑》专刊，广泛征求意见建议。五年来，认真办结代表、委员提案建议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件，并邀请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余名代表委员视察法院、旁听案件、亲历执行。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bCs/>
          <w:sz w:val="32"/>
          <w:szCs w:val="32"/>
        </w:rPr>
        <w:lastRenderedPageBreak/>
        <w:t>主动接受法律监督、社会监督。</w:t>
      </w:r>
      <w:r>
        <w:rPr>
          <w:rFonts w:ascii="仿宋_GB2312" w:eastAsia="仿宋_GB2312" w:hint="eastAsia"/>
          <w:sz w:val="32"/>
          <w:szCs w:val="32"/>
        </w:rPr>
        <w:t>支持配合检察机关履行法律监督职责，落实检察长列席审委会制度，认真办理检察建议，依法审理抗诉案件，共同促进公正司法。广泛接受社会监督，五年举办新闻发布会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次、“公众开放日”</w:t>
      </w:r>
      <w:r>
        <w:rPr>
          <w:rFonts w:ascii="仿宋_GB2312" w:eastAsia="仿宋_GB2312"/>
          <w:sz w:val="32"/>
          <w:szCs w:val="32"/>
        </w:rPr>
        <w:t>56</w:t>
      </w:r>
      <w:r>
        <w:rPr>
          <w:rFonts w:ascii="仿宋_GB2312" w:eastAsia="仿宋_GB2312" w:hint="eastAsia"/>
          <w:sz w:val="32"/>
          <w:szCs w:val="32"/>
        </w:rPr>
        <w:t>次，并通过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法院门户网站、官方微博和微信公众号公布法院信息动态，主动接受群众监督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发挥人民陪审员参与审判、监督司法的作用，落实人民陪审员“倍增计划”，扩大参审案件范围，现有人民陪审员</w:t>
      </w:r>
      <w:r>
        <w:rPr>
          <w:rFonts w:ascii="仿宋_GB2312" w:eastAsia="仿宋_GB2312" w:hAnsi="Times New Roman"/>
          <w:snapToGrid w:val="0"/>
          <w:sz w:val="32"/>
          <w:szCs w:val="32"/>
        </w:rPr>
        <w:t>150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人，参审案件</w:t>
      </w:r>
      <w:r>
        <w:rPr>
          <w:rFonts w:ascii="仿宋_GB2312" w:eastAsia="仿宋_GB2312" w:hAnsi="Times New Roman"/>
          <w:snapToGrid w:val="0"/>
          <w:sz w:val="32"/>
          <w:szCs w:val="32"/>
        </w:rPr>
        <w:t>7757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件，一审普通程序陪审率达</w:t>
      </w:r>
      <w:r>
        <w:rPr>
          <w:rFonts w:ascii="仿宋_GB2312" w:eastAsia="仿宋_GB2312" w:hAnsi="Times New Roman"/>
          <w:snapToGrid w:val="0"/>
          <w:sz w:val="32"/>
          <w:szCs w:val="32"/>
        </w:rPr>
        <w:t>98.9%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77576E">
        <w:rPr>
          <w:rFonts w:ascii="仿宋_GB2312" w:eastAsia="仿宋_GB2312" w:hAnsi="Times New Roman" w:hint="eastAsia"/>
          <w:snapToGrid w:val="0"/>
          <w:sz w:val="32"/>
          <w:szCs w:val="32"/>
        </w:rPr>
        <w:t>各位代表，五年来，法院工作取得了长足进步，涌现出</w:t>
      </w:r>
      <w:r>
        <w:rPr>
          <w:rFonts w:ascii="仿宋_GB2312" w:eastAsia="仿宋_GB2312" w:hint="eastAsia"/>
          <w:sz w:val="32"/>
          <w:szCs w:val="32"/>
        </w:rPr>
        <w:t>一批忠诚司法事业的先进集体和个人，共获市级以上荣誉</w:t>
      </w:r>
      <w:r>
        <w:rPr>
          <w:rFonts w:ascii="仿宋_GB2312" w:eastAsia="仿宋_GB2312"/>
          <w:sz w:val="32"/>
          <w:szCs w:val="32"/>
        </w:rPr>
        <w:t>168</w:t>
      </w:r>
      <w:r>
        <w:rPr>
          <w:rFonts w:ascii="仿宋_GB2312" w:eastAsia="仿宋_GB2312" w:hint="eastAsia"/>
          <w:sz w:val="32"/>
          <w:szCs w:val="32"/>
        </w:rPr>
        <w:t>人次，其中国家、省级荣誉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人次。这些成绩的取得，不仅是法院工作人员奋勇拼搏、团结进取的结果，更是县委领导、人大监督和政府、政协及社会各界大力支持的结果。在此，我谨代表县法院向一直关心、支持法院工作的各位领导、人大代表、政协委员和社会各界人士表示衷心的感谢！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顾五年工作，我们也清醒地认识到，法院工作还存在一些问题和困难：一是法院收案数连年大幅增长，疑难案件增多，办案压力增大，一线法官常年保持高强度工作状态，身心健康堪忧，离职法官数量增多；二是被执行人规避执行、抗拒执行的问题仍然存在，部分当事人和社会公众对“执行难”和“执行不能”的分辨有误，“执行难”问题有待进一步解决；三是一些改革措施尚处起步推进阶段，通过改革调配资源、优化管理、提升质效、服务民生的作用没有充分发挥，改革成效与人民群众的期待还有</w:t>
      </w:r>
      <w:r>
        <w:rPr>
          <w:rFonts w:ascii="仿宋_GB2312" w:eastAsia="仿宋_GB2312" w:hint="eastAsia"/>
          <w:sz w:val="32"/>
          <w:szCs w:val="32"/>
        </w:rPr>
        <w:lastRenderedPageBreak/>
        <w:t>差距；四是一些法官的业务素质还不能适应新形势、新任务的需求，简单机械办案，司法能力、群众工作能力需进一步提升。对此，我们将积极争取各方面的支持，采取更加强有力的措施，努力加以解决。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 w:rsidR="00B76ABC" w:rsidRDefault="00B76ABC" w:rsidP="006926D8">
      <w:pPr>
        <w:spacing w:line="560" w:lineRule="exact"/>
        <w:jc w:val="center"/>
        <w:rPr>
          <w:rFonts w:ascii="宋体"/>
          <w:sz w:val="44"/>
          <w:szCs w:val="44"/>
        </w:rPr>
      </w:pPr>
      <w:r w:rsidRPr="00E920CD">
        <w:rPr>
          <w:rFonts w:ascii="宋体" w:hAnsi="宋体"/>
          <w:sz w:val="44"/>
          <w:szCs w:val="44"/>
        </w:rPr>
        <w:t>2017</w:t>
      </w:r>
      <w:r w:rsidRPr="00E920CD">
        <w:rPr>
          <w:rFonts w:ascii="宋体" w:hAnsi="宋体" w:hint="eastAsia"/>
          <w:sz w:val="44"/>
          <w:szCs w:val="44"/>
        </w:rPr>
        <w:t>年及今后一段时期的工作安排</w:t>
      </w:r>
    </w:p>
    <w:p w:rsidR="00B76ABC" w:rsidRPr="006926D8" w:rsidRDefault="00B76ABC" w:rsidP="006926D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 w:rsidR="00333999" w:rsidRDefault="00B76ABC" w:rsidP="00022EBF">
      <w:pPr>
        <w:spacing w:line="56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年及今后一段时期，我院的总体工作思路是：</w:t>
      </w:r>
      <w:r w:rsidR="00333999" w:rsidRPr="00333999">
        <w:rPr>
          <w:rFonts w:ascii="黑体" w:eastAsia="黑体" w:hAnsi="黑体" w:hint="eastAsia"/>
          <w:sz w:val="32"/>
          <w:szCs w:val="32"/>
        </w:rPr>
        <w:t>紧密</w:t>
      </w:r>
      <w:r w:rsidR="0044115D">
        <w:rPr>
          <w:rFonts w:ascii="黑体" w:eastAsia="黑体" w:hAnsi="黑体"/>
          <w:sz w:val="32"/>
          <w:szCs w:val="32"/>
        </w:rPr>
        <w:t>团结在以习近平</w:t>
      </w:r>
      <w:r w:rsidR="0044115D">
        <w:rPr>
          <w:rFonts w:ascii="黑体" w:eastAsia="黑体" w:hAnsi="黑体" w:hint="eastAsia"/>
          <w:sz w:val="32"/>
          <w:szCs w:val="32"/>
        </w:rPr>
        <w:t>同志</w:t>
      </w:r>
      <w:r w:rsidR="00333999" w:rsidRPr="00333999">
        <w:rPr>
          <w:rFonts w:ascii="黑体" w:eastAsia="黑体" w:hAnsi="黑体"/>
          <w:sz w:val="32"/>
          <w:szCs w:val="32"/>
        </w:rPr>
        <w:t>为核心的党中央周围，</w:t>
      </w:r>
      <w:r w:rsidR="00333999" w:rsidRPr="00333999">
        <w:rPr>
          <w:rFonts w:ascii="黑体" w:eastAsia="黑体" w:hAnsi="黑体" w:hint="eastAsia"/>
          <w:sz w:val="32"/>
          <w:szCs w:val="32"/>
        </w:rPr>
        <w:t>全面贯彻党的</w:t>
      </w:r>
      <w:r w:rsidR="00333999">
        <w:rPr>
          <w:rFonts w:ascii="黑体" w:eastAsia="黑体" w:hAnsi="黑体" w:hint="eastAsia"/>
          <w:sz w:val="32"/>
          <w:szCs w:val="32"/>
        </w:rPr>
        <w:t>十八大和</w:t>
      </w:r>
      <w:r w:rsidR="00333999">
        <w:rPr>
          <w:rFonts w:ascii="黑体" w:eastAsia="黑体" w:hAnsi="黑体"/>
          <w:sz w:val="32"/>
          <w:szCs w:val="32"/>
        </w:rPr>
        <w:t>历次中央全会</w:t>
      </w:r>
      <w:r w:rsidR="00333999" w:rsidRPr="00B67DD7">
        <w:rPr>
          <w:rFonts w:eastAsia="黑体" w:cs="宋体" w:hint="eastAsia"/>
          <w:snapToGrid w:val="0"/>
          <w:kern w:val="0"/>
          <w:sz w:val="32"/>
          <w:szCs w:val="32"/>
        </w:rPr>
        <w:t>精神</w:t>
      </w:r>
      <w:r w:rsidR="00333999">
        <w:rPr>
          <w:rFonts w:ascii="黑体" w:eastAsia="黑体" w:hAnsi="黑体"/>
          <w:sz w:val="32"/>
          <w:szCs w:val="32"/>
        </w:rPr>
        <w:t>，</w:t>
      </w:r>
      <w:r w:rsidR="00333999">
        <w:rPr>
          <w:rFonts w:ascii="黑体" w:eastAsia="黑体" w:hAnsi="黑体" w:hint="eastAsia"/>
          <w:sz w:val="32"/>
          <w:szCs w:val="32"/>
        </w:rPr>
        <w:t>深入</w:t>
      </w:r>
      <w:r w:rsidR="00333999">
        <w:rPr>
          <w:rFonts w:ascii="黑体" w:eastAsia="黑体" w:hAnsi="黑体"/>
          <w:sz w:val="32"/>
          <w:szCs w:val="32"/>
        </w:rPr>
        <w:t>学习贯彻</w:t>
      </w:r>
      <w:r w:rsidR="00333999" w:rsidRPr="00B67DD7">
        <w:rPr>
          <w:rFonts w:eastAsia="黑体" w:cs="宋体" w:hint="eastAsia"/>
          <w:snapToGrid w:val="0"/>
          <w:kern w:val="0"/>
          <w:sz w:val="32"/>
          <w:szCs w:val="32"/>
        </w:rPr>
        <w:t>习近平总书记系列重要讲话精神</w:t>
      </w:r>
      <w:r w:rsidR="00022EBF">
        <w:rPr>
          <w:rFonts w:eastAsia="黑体" w:cs="宋体" w:hint="eastAsia"/>
          <w:snapToGrid w:val="0"/>
          <w:kern w:val="0"/>
          <w:sz w:val="32"/>
          <w:szCs w:val="32"/>
        </w:rPr>
        <w:t>和</w:t>
      </w:r>
      <w:r w:rsidR="00022EBF">
        <w:rPr>
          <w:rFonts w:eastAsia="黑体" w:cs="宋体"/>
          <w:snapToGrid w:val="0"/>
          <w:kern w:val="0"/>
          <w:sz w:val="32"/>
          <w:szCs w:val="32"/>
        </w:rPr>
        <w:t>治国理政新理念新思想新战略</w:t>
      </w:r>
      <w:r w:rsidR="00333999" w:rsidRPr="00B67DD7">
        <w:rPr>
          <w:rFonts w:eastAsia="黑体" w:cs="宋体" w:hint="eastAsia"/>
          <w:snapToGrid w:val="0"/>
          <w:kern w:val="0"/>
          <w:sz w:val="32"/>
          <w:szCs w:val="32"/>
        </w:rPr>
        <w:t>，</w:t>
      </w:r>
      <w:r w:rsidR="00022EBF" w:rsidRPr="00022EBF">
        <w:rPr>
          <w:rFonts w:ascii="黑体" w:eastAsia="黑体" w:hAnsi="黑体" w:hint="eastAsia"/>
          <w:sz w:val="32"/>
          <w:szCs w:val="32"/>
        </w:rPr>
        <w:t>紧紧围绕</w:t>
      </w:r>
      <w:r w:rsidR="00022EBF" w:rsidRPr="00022EBF">
        <w:rPr>
          <w:rFonts w:ascii="黑体" w:eastAsia="黑体" w:hAnsi="黑体"/>
          <w:sz w:val="32"/>
          <w:szCs w:val="32"/>
        </w:rPr>
        <w:t>建设</w:t>
      </w:r>
      <w:r w:rsidR="00022EBF" w:rsidRPr="00022EBF">
        <w:rPr>
          <w:rFonts w:ascii="黑体" w:eastAsia="黑体" w:hAnsi="黑体" w:hint="eastAsia"/>
          <w:sz w:val="32"/>
          <w:szCs w:val="32"/>
        </w:rPr>
        <w:t>“</w:t>
      </w:r>
      <w:r w:rsidR="00022EBF" w:rsidRPr="00022EBF">
        <w:rPr>
          <w:rFonts w:ascii="黑体" w:eastAsia="黑体" w:hAnsi="黑体"/>
          <w:sz w:val="32"/>
          <w:szCs w:val="32"/>
        </w:rPr>
        <w:t>一流法院</w:t>
      </w:r>
      <w:r w:rsidR="00022EBF" w:rsidRPr="00022EBF">
        <w:rPr>
          <w:rFonts w:ascii="黑体" w:eastAsia="黑体" w:hAnsi="黑体" w:hint="eastAsia"/>
          <w:sz w:val="32"/>
          <w:szCs w:val="32"/>
        </w:rPr>
        <w:t>”</w:t>
      </w:r>
      <w:r w:rsidR="00022EBF" w:rsidRPr="00022EBF">
        <w:rPr>
          <w:rFonts w:ascii="黑体" w:eastAsia="黑体" w:hAnsi="黑体"/>
          <w:sz w:val="32"/>
          <w:szCs w:val="32"/>
        </w:rPr>
        <w:t>的目标</w:t>
      </w:r>
      <w:r w:rsidR="00333999" w:rsidRPr="00022EBF">
        <w:rPr>
          <w:rFonts w:ascii="黑体" w:eastAsia="黑体" w:hAnsi="黑体" w:hint="eastAsia"/>
          <w:sz w:val="32"/>
          <w:szCs w:val="32"/>
        </w:rPr>
        <w:t>，</w:t>
      </w:r>
      <w:r w:rsidR="00333999">
        <w:rPr>
          <w:rFonts w:ascii="黑体" w:eastAsia="黑体" w:hAnsi="黑体" w:hint="eastAsia"/>
          <w:sz w:val="32"/>
          <w:szCs w:val="32"/>
        </w:rPr>
        <w:t>全面加强审判执行工作，稳妥推进司法改革，从严管理法院队伍，为我县纵深推进“三区两美”、法治永嘉、平安永嘉建设提供有力的司法保障。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一是坚持司法办案，服务发展稳定大局。</w:t>
      </w:r>
      <w:r w:rsidR="003C0D92">
        <w:rPr>
          <w:rFonts w:ascii="仿宋_GB2312" w:eastAsia="仿宋_GB2312" w:hint="eastAsia"/>
          <w:sz w:val="32"/>
          <w:szCs w:val="32"/>
        </w:rPr>
        <w:t>准确把握经济社会发展</w:t>
      </w:r>
      <w:r>
        <w:rPr>
          <w:rFonts w:ascii="仿宋_GB2312" w:eastAsia="仿宋_GB2312" w:hint="eastAsia"/>
          <w:sz w:val="32"/>
          <w:szCs w:val="32"/>
        </w:rPr>
        <w:t>新特点，妥善办理城乡布局调整、产业结构调整、经济转型发展过程中的涉案纠纷，依法保障“五水共治”“三改一拆”“大拆大整”等中心工作，不断提升司法服务发展的能力和水平。坚持实质性化解行政争议，加强司法与行政良性互动，助推法治政府建设。妥善处理经济下行形势下的各类案件，抓好银行不良资产、企业“两链”风险和民间借贷等纠纷化解，维护经济金融稳定。加强破产审判，</w:t>
      </w:r>
      <w:r>
        <w:rPr>
          <w:rFonts w:eastAsia="仿宋_GB2312" w:hint="eastAsia"/>
          <w:sz w:val="32"/>
          <w:szCs w:val="32"/>
        </w:rPr>
        <w:t>积极用法治手段化解产能过剩。</w:t>
      </w:r>
      <w:r>
        <w:rPr>
          <w:rFonts w:ascii="仿宋_GB2312" w:eastAsia="仿宋_GB2312" w:hint="eastAsia"/>
          <w:sz w:val="32"/>
          <w:szCs w:val="32"/>
        </w:rPr>
        <w:t>加强环境资源审判，促进绿色协调发展。积极参与基层社会治理“一张网”</w:t>
      </w:r>
      <w:r>
        <w:rPr>
          <w:rFonts w:ascii="仿宋_GB2312" w:eastAsia="仿宋_GB2312" w:hint="eastAsia"/>
          <w:sz w:val="32"/>
          <w:szCs w:val="32"/>
        </w:rPr>
        <w:lastRenderedPageBreak/>
        <w:t>建设，依法惩治刑事犯罪，多元化解民商纠纷，助力夺取“平安金鼎”。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二是深化司法为民，维护群众合法权益。</w:t>
      </w:r>
      <w:r>
        <w:rPr>
          <w:rFonts w:ascii="仿宋_GB2312" w:eastAsia="仿宋_GB2312" w:hint="eastAsia"/>
          <w:sz w:val="32"/>
          <w:szCs w:val="32"/>
        </w:rPr>
        <w:t>推进“大立案、大服务、大调解”三大机制建设，不断优化诉讼服务，满足群众多元需求。妥善审理涉民生案件，突出保护弱势群体合法权益，不断提升群众获得感。全力推进基本解决执行难工作，加强与党政机关的执行联动，完善执行信息化、规范化建设，穷尽强制执行、失信惩戒等各项措施，保障当事人胜诉权益及时实现。丰富巡回审判、午间法庭、假日法庭等便民利民举措，让群众充分感受司法的便捷高效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三是推进司法改革，保障司法公正权威。</w:t>
      </w:r>
      <w:r>
        <w:rPr>
          <w:rFonts w:ascii="仿宋_GB2312" w:eastAsia="仿宋_GB2312" w:hint="eastAsia"/>
          <w:sz w:val="32"/>
          <w:szCs w:val="32"/>
        </w:rPr>
        <w:t>全面落实人员分类管理、司法责任制等改革工作，建立健全主审法官、合议庭办案责任制，科学组建审判团队，优化职权、人员配置，规范审判权运行。深化庭审实质化改革，实行轻微刑事案件速裁、被告人认罪认罚从宽等做法，确保庭审发挥实质性作用。推进家事审判改革，完善家事审判工作机制和方式，促进家庭和睦、社会和谐。深化“互联网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审判”工作机制，完善司法公开三大平台建设，构建开放、动态、透明、便民的阳光司法机制。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四是抓好队伍建设，夯实法院工作基础。</w:t>
      </w:r>
      <w:r>
        <w:rPr>
          <w:rFonts w:ascii="仿宋_GB2312" w:eastAsia="仿宋_GB2312" w:hint="eastAsia"/>
          <w:sz w:val="32"/>
          <w:szCs w:val="32"/>
        </w:rPr>
        <w:t>加强思想政治建设，强化四种意识，确保法院队伍信念坚定、忠诚使命、干净自律、担当有为。积极适应新形势、新任务要求，推进法官队伍正规化、职业化、专业化建设，不断提升法官业务素养和司法能力。深化党风廉洁建设，严明廉洁自律各项规定，严格落实“两个责任”，</w:t>
      </w:r>
      <w:r>
        <w:rPr>
          <w:rFonts w:ascii="仿宋_GB2312" w:eastAsia="仿宋_GB2312" w:hint="eastAsia"/>
          <w:sz w:val="32"/>
          <w:szCs w:val="32"/>
        </w:rPr>
        <w:lastRenderedPageBreak/>
        <w:t>加大执纪监督问责力度，</w:t>
      </w:r>
      <w:r>
        <w:rPr>
          <w:rFonts w:ascii="仿宋_GB2312" w:eastAsia="仿宋_GB2312" w:hAnsi="仿宋" w:hint="eastAsia"/>
          <w:sz w:val="32"/>
          <w:szCs w:val="32"/>
        </w:rPr>
        <w:t>深入治理“六难三案”问题，确保司法公正廉洁。</w:t>
      </w:r>
      <w:r>
        <w:rPr>
          <w:rFonts w:ascii="仿宋_GB2312" w:eastAsia="仿宋_GB2312" w:hint="eastAsia"/>
          <w:sz w:val="32"/>
          <w:szCs w:val="32"/>
        </w:rPr>
        <w:t>加强青年法官培养，关心爱护优待干警，增强干警的归属感。</w:t>
      </w:r>
    </w:p>
    <w:p w:rsidR="00B76ABC" w:rsidRDefault="00B76ABC" w:rsidP="00E920C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77576E">
        <w:rPr>
          <w:rFonts w:ascii="仿宋_GB2312" w:eastAsia="仿宋_GB2312" w:hint="eastAsia"/>
          <w:sz w:val="32"/>
          <w:szCs w:val="32"/>
        </w:rPr>
        <w:t>各位代表</w:t>
      </w:r>
      <w:r>
        <w:rPr>
          <w:rFonts w:ascii="仿宋_GB2312" w:eastAsia="仿宋_GB2312" w:hint="eastAsia"/>
          <w:sz w:val="32"/>
          <w:szCs w:val="32"/>
        </w:rPr>
        <w:t>，今后五年，县法院将在县委领导、人大监督、政府和政协支持下，认真落实本次大会决议，以更加强烈的责任感和使命感，忠实履职，团结拼搏，扎实奋</w:t>
      </w:r>
      <w:r w:rsidR="003C0D92">
        <w:rPr>
          <w:rFonts w:ascii="仿宋_GB2312" w:eastAsia="仿宋_GB2312" w:hint="eastAsia"/>
          <w:sz w:val="32"/>
          <w:szCs w:val="32"/>
        </w:rPr>
        <w:t>进，为我县建设法治永嘉、平安永嘉，高水平全面建成小康社会提供更</w:t>
      </w:r>
      <w:r w:rsidR="008B5767"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有力的司法保障！</w:t>
      </w: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C0D92" w:rsidRDefault="003C0D92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C0D92" w:rsidRDefault="003C0D92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9B1" w:rsidRDefault="001E79B1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附件一</w:t>
      </w:r>
    </w:p>
    <w:p w:rsidR="00B76ABC" w:rsidRDefault="00B76ABC" w:rsidP="00E920C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76ABC" w:rsidRPr="00D9536E" w:rsidRDefault="00A12E2C" w:rsidP="00D9536E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名词解释</w:t>
      </w:r>
    </w:p>
    <w:p w:rsidR="00B76ABC" w:rsidRDefault="00B76ABC" w:rsidP="006926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76ABC" w:rsidRDefault="00B76ABC" w:rsidP="006926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、刑附民案件诉调协同机制：</w:t>
      </w:r>
      <w:r>
        <w:rPr>
          <w:rFonts w:ascii="仿宋_GB2312" w:eastAsia="仿宋_GB2312" w:hAnsi="黑体" w:hint="eastAsia"/>
          <w:sz w:val="32"/>
          <w:szCs w:val="32"/>
        </w:rPr>
        <w:t>指在刑事附带民事案件立案阶段，经</w:t>
      </w:r>
      <w:r>
        <w:rPr>
          <w:rFonts w:ascii="仿宋_GB2312" w:eastAsia="仿宋_GB2312" w:hint="eastAsia"/>
          <w:sz w:val="32"/>
          <w:szCs w:val="32"/>
        </w:rPr>
        <w:t>当事人或其法定代理人同意、审判业务部门负责人批准，由法院委托人民调解机构就民事赔偿部分进行调解的机制。</w:t>
      </w:r>
    </w:p>
    <w:p w:rsidR="00B76ABC" w:rsidRDefault="00B76ABC" w:rsidP="006926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、“三争三进三服务”活动：</w:t>
      </w:r>
      <w:r>
        <w:rPr>
          <w:rFonts w:ascii="仿宋_GB2312" w:eastAsia="仿宋_GB2312" w:hAnsi="黑体" w:hint="eastAsia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“争当办案能手、文明标兵、廉政模范”“进金融、进企业、进社区、服务银企、服务大局、服务基层”活动。</w:t>
      </w:r>
    </w:p>
    <w:p w:rsidR="00B76ABC" w:rsidRDefault="00B76ABC" w:rsidP="006926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、家事审判改革：</w:t>
      </w:r>
      <w:r>
        <w:rPr>
          <w:rFonts w:ascii="仿宋_GB2312" w:eastAsia="仿宋_GB2312" w:hAnsi="黑体" w:hint="eastAsia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家事审判方式和工作机制改革。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最高法院将温州中院确定为改革试点法院。根据上级法院部署，永嘉法院积极落实各项改革措施，推动成立县级领导小组，在全县家事审判中建立“党委领导、政府支持、法院推动、社会参与”多元化纠纷解决机制，努力使家事纠纷得到妥善化解。</w:t>
      </w:r>
    </w:p>
    <w:p w:rsidR="00B76ABC" w:rsidRDefault="00B76ABC" w:rsidP="006926D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、“府院互动四大机制群”：</w:t>
      </w:r>
      <w:r>
        <w:rPr>
          <w:rFonts w:ascii="仿宋_GB2312" w:eastAsia="仿宋_GB2312" w:hAnsi="黑体" w:hint="eastAsia"/>
          <w:sz w:val="32"/>
          <w:szCs w:val="32"/>
        </w:rPr>
        <w:t>指行</w:t>
      </w:r>
      <w:r>
        <w:rPr>
          <w:rFonts w:ascii="仿宋_GB2312" w:eastAsia="仿宋_GB2312" w:hAnsi="宋体" w:hint="eastAsia"/>
          <w:sz w:val="32"/>
        </w:rPr>
        <w:t>政复议和行政审判、行政机关败诉责任认定与追究、行政争议协调、府院联席会议四大机制，各项制度各有优势，共同推进</w:t>
      </w:r>
      <w:r>
        <w:rPr>
          <w:rFonts w:ascii="仿宋_GB2312" w:eastAsia="仿宋_GB2312" w:hint="eastAsia"/>
          <w:sz w:val="32"/>
          <w:szCs w:val="32"/>
        </w:rPr>
        <w:t>司法与行政良性互动，促使妥善化解行政争议</w:t>
      </w:r>
      <w:r>
        <w:rPr>
          <w:rFonts w:ascii="仿宋_GB2312" w:eastAsia="仿宋_GB2312" w:hAnsi="宋体" w:hint="eastAsia"/>
          <w:sz w:val="32"/>
        </w:rPr>
        <w:t>。</w:t>
      </w:r>
    </w:p>
    <w:p w:rsidR="00B76ABC" w:rsidRDefault="00B76ABC" w:rsidP="00A95BE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、基本解决执行难：</w:t>
      </w:r>
      <w:r>
        <w:rPr>
          <w:rFonts w:ascii="仿宋_GB2312" w:eastAsia="仿宋_GB2312" w:hint="eastAsia"/>
          <w:sz w:val="32"/>
          <w:szCs w:val="32"/>
        </w:rPr>
        <w:t>首次由最高法院周强院长在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年全</w:t>
      </w:r>
      <w:r>
        <w:rPr>
          <w:rFonts w:ascii="仿宋_GB2312" w:eastAsia="仿宋_GB2312" w:hint="eastAsia"/>
          <w:sz w:val="32"/>
          <w:szCs w:val="32"/>
        </w:rPr>
        <w:t>国“两会”上提出，即“</w:t>
      </w:r>
      <w:r>
        <w:rPr>
          <w:rFonts w:eastAsia="仿宋_GB2312" w:hint="eastAsia"/>
          <w:sz w:val="32"/>
          <w:szCs w:val="32"/>
        </w:rPr>
        <w:t>用两到三年时间基本解决执行难问题，破除实现公平正义的最后一道藩篱。”主要表现为</w:t>
      </w:r>
      <w:r>
        <w:rPr>
          <w:rFonts w:ascii="仿宋_GB2312" w:eastAsia="仿宋_GB2312" w:hint="eastAsia"/>
          <w:sz w:val="32"/>
          <w:szCs w:val="32"/>
        </w:rPr>
        <w:t>“四个基本”：即被执行人规避执行、抗拒执行和外界干预执</w:t>
      </w:r>
      <w:r>
        <w:rPr>
          <w:rFonts w:eastAsia="仿宋_GB2312" w:hint="eastAsia"/>
          <w:sz w:val="32"/>
          <w:szCs w:val="32"/>
        </w:rPr>
        <w:t>行现象得到基本遏</w:t>
      </w:r>
      <w:r>
        <w:rPr>
          <w:rFonts w:eastAsia="仿宋_GB2312" w:hint="eastAsia"/>
          <w:sz w:val="32"/>
          <w:szCs w:val="32"/>
        </w:rPr>
        <w:lastRenderedPageBreak/>
        <w:t>制；人民法院消极执行、选择性执行、乱执行的情形基本消除；无财产可供执行案件终结本次执行程序标准和实质标准把握不严、恢复执行等相关配套机制应用不畅的问题得到基本解决；有财产可供执行案件在法定期限内基本执行完毕，人民群众对执行工作的满意度显著提升，人民法院执行权威有效树立、司法公信力进一步增强。由于执行基础较好，永嘉法院科学研判当前形势，提出在一年内基本解决执行难的目标，努力使该项工作走在全市前列。</w:t>
      </w:r>
    </w:p>
    <w:p w:rsidR="00B76ABC" w:rsidRDefault="00B76ABC" w:rsidP="006926D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、“车载法庭”巡回审判：</w:t>
      </w:r>
      <w:r>
        <w:rPr>
          <w:rFonts w:ascii="仿宋_GB2312" w:eastAsia="仿宋_GB2312" w:hAnsi="黑体" w:hint="eastAsia"/>
          <w:sz w:val="32"/>
          <w:szCs w:val="32"/>
        </w:rPr>
        <w:t>指永嘉法院引进全市首辆集立案、审判、宣传等功能于一体的巡回审判专用车</w:t>
      </w:r>
      <w:r>
        <w:rPr>
          <w:rFonts w:ascii="仿宋_GB2312" w:eastAsia="仿宋_GB2312" w:hint="eastAsia"/>
          <w:sz w:val="32"/>
          <w:szCs w:val="32"/>
        </w:rPr>
        <w:t>，针对当事人诉讼不便的案件，每月以“车载法庭”形式，为当事人开展上门立案、就地调解、巡回审判等便民服务</w:t>
      </w:r>
      <w:r>
        <w:rPr>
          <w:rFonts w:eastAsia="仿宋_GB2312" w:hint="eastAsia"/>
          <w:sz w:val="32"/>
          <w:szCs w:val="32"/>
        </w:rPr>
        <w:t>。</w:t>
      </w:r>
    </w:p>
    <w:p w:rsidR="00B76ABC" w:rsidRDefault="00B76ABC" w:rsidP="006926D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、法官员额制改革：</w:t>
      </w:r>
      <w:r>
        <w:rPr>
          <w:rFonts w:ascii="仿宋_GB2312" w:eastAsia="仿宋_GB2312" w:hAnsi="黑体" w:hint="eastAsia"/>
          <w:sz w:val="32"/>
          <w:szCs w:val="32"/>
        </w:rPr>
        <w:t>指对法官实行员额制管理，建立以法官为中心的人员配置模式，实现法官正规化、专业化、职业化。</w:t>
      </w:r>
      <w:r>
        <w:rPr>
          <w:rFonts w:eastAsia="仿宋_GB2312" w:hint="eastAsia"/>
          <w:sz w:val="32"/>
          <w:szCs w:val="32"/>
        </w:rPr>
        <w:t>经核算，永嘉法院法官员额数暂按中</w:t>
      </w:r>
      <w:r>
        <w:rPr>
          <w:rFonts w:ascii="仿宋_GB2312" w:eastAsia="仿宋_GB2312" w:hint="eastAsia"/>
          <w:sz w:val="32"/>
          <w:szCs w:val="32"/>
        </w:rPr>
        <w:t>央政法专项编制总数的</w:t>
      </w:r>
      <w:r>
        <w:rPr>
          <w:rFonts w:ascii="仿宋_GB2312" w:eastAsia="仿宋_GB2312"/>
          <w:sz w:val="32"/>
          <w:szCs w:val="32"/>
        </w:rPr>
        <w:t>36%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名）确定</w:t>
      </w:r>
      <w:r>
        <w:rPr>
          <w:rFonts w:eastAsia="仿宋_GB2312" w:hint="eastAsia"/>
          <w:sz w:val="32"/>
          <w:szCs w:val="32"/>
        </w:rPr>
        <w:t>。</w:t>
      </w:r>
    </w:p>
    <w:p w:rsidR="00B76ABC" w:rsidRDefault="00B76ABC" w:rsidP="006926D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、庭审实质化改革：</w:t>
      </w:r>
      <w:r>
        <w:rPr>
          <w:rFonts w:ascii="仿宋_GB2312" w:eastAsia="仿宋_GB2312" w:hint="eastAsia"/>
          <w:sz w:val="32"/>
          <w:szCs w:val="32"/>
        </w:rPr>
        <w:t>党的十八届四中全会提出“推进以审判为中心的诉讼制度改革”，最高法院将其纳入《四五改革纲要》。在此背景下，温州两级法院积极推进庭审实质化改革，取得了显著成效。永嘉法院推动县委政法委牵头召开专题协调会，会同公安、检察、司法、财政等单位部门成立县庭审实质化改革领导小组，协同落实各项改革措施，整体工作考核排名位居全市前列。</w:t>
      </w:r>
    </w:p>
    <w:p w:rsidR="00B76ABC" w:rsidRDefault="00B76ABC" w:rsidP="006926D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、廉政教育“四个一”做法：</w:t>
      </w:r>
      <w:r>
        <w:rPr>
          <w:rFonts w:ascii="仿宋_GB2312" w:eastAsia="仿宋_GB2312" w:hAnsi="黑体" w:hint="eastAsia"/>
          <w:sz w:val="32"/>
          <w:szCs w:val="32"/>
        </w:rPr>
        <w:t>指</w:t>
      </w:r>
      <w:r>
        <w:rPr>
          <w:rFonts w:ascii="仿宋_GB2312" w:eastAsia="仿宋_GB2312" w:hAnsi="宋体" w:hint="eastAsia"/>
          <w:sz w:val="32"/>
          <w:szCs w:val="32"/>
        </w:rPr>
        <w:t>实行“一周一巡查、一月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一廉文荐读、一季一警示教育、一年一廉政党课”的做法，确保廉政教育常态化。</w:t>
      </w:r>
    </w:p>
    <w:p w:rsidR="00B76ABC" w:rsidRDefault="00B76ABC" w:rsidP="006926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、“执行不能”和“执行难”的分辨：</w:t>
      </w:r>
      <w:r>
        <w:rPr>
          <w:rFonts w:ascii="仿宋_GB2312" w:eastAsia="仿宋_GB2312" w:hint="eastAsia"/>
          <w:sz w:val="32"/>
          <w:szCs w:val="32"/>
        </w:rPr>
        <w:t>“执行难”是指由于被执行人隐匿转移财产、有关方面拒不协助执行、执行机制不顺畅和执行人员自身存在消极执行、选择性执行、拖延执行等原因，导致案件无法执行的情形。人民法院通过规范执行行为、完善财产查控、加强信用惩戒等措施，能够解决上述原因导致的“执行难”。但基本解决执行难问题，并不意味着对所有案件都能成功执行。实践中，存在被执行人丧失履行能力、客观上确无财产可供执行的情形，无论采取什么执行措施都不可能执行到位的情况，这是正常商业风险、市场交易风险的体现，不包括在“执行难”范畴，应归属于“执行不能”。</w:t>
      </w: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3999" w:rsidRPr="00333999" w:rsidRDefault="00333999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14646" w:rsidRDefault="00414646" w:rsidP="00E920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6ABC" w:rsidRDefault="00B76ABC" w:rsidP="00E920CD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附件二</w:t>
      </w:r>
    </w:p>
    <w:p w:rsidR="00B76ABC" w:rsidRPr="00D9536E" w:rsidRDefault="00B76ABC" w:rsidP="00E920CD">
      <w:pPr>
        <w:spacing w:before="100" w:beforeAutospacing="1" w:after="100" w:afterAutospacing="1" w:line="400" w:lineRule="exact"/>
        <w:jc w:val="center"/>
        <w:rPr>
          <w:rFonts w:ascii="宋体"/>
          <w:b/>
          <w:sz w:val="44"/>
          <w:szCs w:val="44"/>
        </w:rPr>
      </w:pPr>
      <w:r w:rsidRPr="00D9536E">
        <w:rPr>
          <w:rFonts w:ascii="宋体" w:hAnsi="宋体" w:hint="eastAsia"/>
          <w:b/>
          <w:sz w:val="44"/>
          <w:szCs w:val="44"/>
        </w:rPr>
        <w:t>永嘉法院审判和执行工作情况图</w:t>
      </w:r>
    </w:p>
    <w:p w:rsidR="00B76ABC" w:rsidRDefault="00B76ABC" w:rsidP="00CE359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2007-2016</w:t>
      </w:r>
      <w:r>
        <w:rPr>
          <w:rFonts w:ascii="黑体" w:eastAsia="黑体" w:hAnsi="黑体" w:hint="eastAsia"/>
          <w:sz w:val="32"/>
          <w:szCs w:val="32"/>
        </w:rPr>
        <w:t>年永嘉法院结案数及一线法官人均结案数走势</w:t>
      </w:r>
    </w:p>
    <w:p w:rsidR="00B76ABC" w:rsidRDefault="003C0D92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113030</wp:posOffset>
            </wp:positionV>
            <wp:extent cx="5760085" cy="3134995"/>
            <wp:effectExtent l="0" t="0" r="0" b="8255"/>
            <wp:wrapNone/>
            <wp:docPr id="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3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CE359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2007-2016</w:t>
      </w:r>
      <w:r>
        <w:rPr>
          <w:rFonts w:ascii="黑体" w:eastAsia="黑体" w:hAnsi="黑体" w:hint="eastAsia"/>
          <w:sz w:val="32"/>
          <w:szCs w:val="32"/>
        </w:rPr>
        <w:t>年永嘉法院解决诉讼标的额走势</w:t>
      </w:r>
    </w:p>
    <w:p w:rsidR="00B76ABC" w:rsidRDefault="003C0D92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85725</wp:posOffset>
            </wp:positionV>
            <wp:extent cx="5760085" cy="3155950"/>
            <wp:effectExtent l="0" t="0" r="0" b="6350"/>
            <wp:wrapNone/>
            <wp:docPr id="3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b/>
          <w:sz w:val="24"/>
          <w:szCs w:val="24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>说明：</w:t>
      </w:r>
      <w:r>
        <w:rPr>
          <w:rFonts w:ascii="仿宋_GB2312" w:eastAsia="仿宋_GB2312" w:hAnsi="黑体"/>
          <w:sz w:val="24"/>
          <w:szCs w:val="24"/>
        </w:rPr>
        <w:t>2012</w:t>
      </w:r>
      <w:r>
        <w:rPr>
          <w:rFonts w:ascii="仿宋_GB2312" w:eastAsia="仿宋_GB2312" w:hAnsi="黑体" w:hint="eastAsia"/>
          <w:sz w:val="24"/>
          <w:szCs w:val="24"/>
        </w:rPr>
        <w:t>年以来，民间借贷、金融纠纷等案件激增，导致诉讼标的额骤升。</w:t>
      </w:r>
    </w:p>
    <w:p w:rsidR="00B76ABC" w:rsidRDefault="00B76ABC" w:rsidP="00CE359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3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2012-2016</w:t>
      </w:r>
      <w:r>
        <w:rPr>
          <w:rFonts w:ascii="黑体" w:eastAsia="黑体" w:hAnsi="黑体" w:hint="eastAsia"/>
          <w:sz w:val="32"/>
          <w:szCs w:val="32"/>
        </w:rPr>
        <w:t>年永嘉法院审结一审刑事案件构成</w:t>
      </w:r>
    </w:p>
    <w:p w:rsidR="00B76ABC" w:rsidRDefault="003C0D92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261620</wp:posOffset>
            </wp:positionV>
            <wp:extent cx="5760085" cy="3176905"/>
            <wp:effectExtent l="0" t="0" r="0" b="4445"/>
            <wp:wrapNone/>
            <wp:docPr id="4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7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76ABC" w:rsidRDefault="00B76ABC" w:rsidP="00CE359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2012-2016</w:t>
      </w:r>
      <w:r>
        <w:rPr>
          <w:rFonts w:ascii="黑体" w:eastAsia="黑体" w:hAnsi="黑体" w:hint="eastAsia"/>
          <w:sz w:val="32"/>
          <w:szCs w:val="32"/>
        </w:rPr>
        <w:t>年永嘉法院审结一审民商事案件构成</w:t>
      </w:r>
    </w:p>
    <w:p w:rsidR="00B76ABC" w:rsidRDefault="003C0D92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243840</wp:posOffset>
            </wp:positionV>
            <wp:extent cx="5760085" cy="3155950"/>
            <wp:effectExtent l="0" t="0" r="0" b="6350"/>
            <wp:wrapNone/>
            <wp:docPr id="5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3C0D92" w:rsidP="00CE359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367030</wp:posOffset>
            </wp:positionV>
            <wp:extent cx="5760085" cy="2879725"/>
            <wp:effectExtent l="0" t="0" r="0" b="0"/>
            <wp:wrapNone/>
            <wp:docPr id="6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BC">
        <w:rPr>
          <w:rFonts w:ascii="黑体" w:eastAsia="黑体" w:hAnsi="黑体"/>
          <w:sz w:val="32"/>
          <w:szCs w:val="32"/>
        </w:rPr>
        <w:t>5</w:t>
      </w:r>
      <w:r w:rsidR="00B76ABC">
        <w:rPr>
          <w:rFonts w:ascii="黑体" w:eastAsia="黑体" w:hAnsi="黑体" w:hint="eastAsia"/>
          <w:sz w:val="32"/>
          <w:szCs w:val="32"/>
        </w:rPr>
        <w:t>、</w:t>
      </w:r>
      <w:r w:rsidR="00B76ABC">
        <w:rPr>
          <w:rFonts w:ascii="黑体" w:eastAsia="黑体" w:hAnsi="黑体"/>
          <w:sz w:val="32"/>
          <w:szCs w:val="32"/>
        </w:rPr>
        <w:t>2012-2016</w:t>
      </w:r>
      <w:r w:rsidR="00B76ABC">
        <w:rPr>
          <w:rFonts w:ascii="黑体" w:eastAsia="黑体" w:hAnsi="黑体" w:hint="eastAsia"/>
          <w:sz w:val="32"/>
          <w:szCs w:val="32"/>
        </w:rPr>
        <w:t>年永嘉法院行政诉讼案件收结案走势</w:t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3C0D92" w:rsidP="00CE359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427355</wp:posOffset>
            </wp:positionV>
            <wp:extent cx="5760085" cy="2520315"/>
            <wp:effectExtent l="0" t="0" r="0" b="0"/>
            <wp:wrapNone/>
            <wp:docPr id="7" name="图片 7" descr="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6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BC">
        <w:rPr>
          <w:rFonts w:ascii="黑体" w:eastAsia="黑体" w:hAnsi="黑体"/>
          <w:sz w:val="32"/>
          <w:szCs w:val="32"/>
        </w:rPr>
        <w:t>6</w:t>
      </w:r>
      <w:r w:rsidR="00B76ABC">
        <w:rPr>
          <w:rFonts w:ascii="黑体" w:eastAsia="黑体" w:hAnsi="黑体" w:hint="eastAsia"/>
          <w:sz w:val="32"/>
          <w:szCs w:val="32"/>
        </w:rPr>
        <w:t>、</w:t>
      </w:r>
      <w:r w:rsidR="00B76ABC">
        <w:rPr>
          <w:rFonts w:ascii="黑体" w:eastAsia="黑体" w:hAnsi="黑体"/>
          <w:sz w:val="32"/>
          <w:szCs w:val="32"/>
        </w:rPr>
        <w:t>2007-2016</w:t>
      </w:r>
      <w:r w:rsidR="00B76ABC">
        <w:rPr>
          <w:rFonts w:ascii="黑体" w:eastAsia="黑体" w:hAnsi="黑体" w:hint="eastAsia"/>
          <w:sz w:val="32"/>
          <w:szCs w:val="32"/>
        </w:rPr>
        <w:t>年永嘉法院执行结案数及到位标的额走势</w:t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3C0D92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436245</wp:posOffset>
            </wp:positionV>
            <wp:extent cx="5760085" cy="2520315"/>
            <wp:effectExtent l="0" t="0" r="0" b="0"/>
            <wp:wrapNone/>
            <wp:docPr id="8" name="图片 4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6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CE359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7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年全市基层法院执行质量、效果情况</w:t>
      </w:r>
    </w:p>
    <w:p w:rsidR="00B76ABC" w:rsidRDefault="003C0D92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112395</wp:posOffset>
            </wp:positionV>
            <wp:extent cx="5760085" cy="3114675"/>
            <wp:effectExtent l="0" t="0" r="0" b="9525"/>
            <wp:wrapNone/>
            <wp:docPr id="9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>说明：</w:t>
      </w:r>
      <w:r>
        <w:rPr>
          <w:rFonts w:ascii="仿宋_GB2312" w:eastAsia="仿宋_GB2312" w:hAnsi="黑体"/>
          <w:sz w:val="24"/>
          <w:szCs w:val="24"/>
        </w:rPr>
        <w:t>2016</w:t>
      </w:r>
      <w:r>
        <w:rPr>
          <w:rFonts w:ascii="仿宋_GB2312" w:eastAsia="仿宋_GB2312" w:hAnsi="黑体" w:hint="eastAsia"/>
          <w:sz w:val="24"/>
          <w:szCs w:val="24"/>
        </w:rPr>
        <w:t>年，永嘉法院执行质量、效果分列全市基层法院第一、第三名。</w:t>
      </w: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5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6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6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Default="00B76ABC" w:rsidP="00E920CD">
      <w:pPr>
        <w:spacing w:line="660" w:lineRule="exact"/>
        <w:jc w:val="center"/>
        <w:rPr>
          <w:rFonts w:ascii="仿宋_GB2312" w:eastAsia="仿宋_GB2312" w:hAnsi="黑体"/>
          <w:sz w:val="24"/>
          <w:szCs w:val="24"/>
        </w:rPr>
      </w:pPr>
    </w:p>
    <w:p w:rsidR="00B76ABC" w:rsidRPr="001B03F0" w:rsidRDefault="00B76ABC" w:rsidP="00E920CD">
      <w:pPr>
        <w:spacing w:line="660" w:lineRule="exact"/>
      </w:pPr>
    </w:p>
    <w:p w:rsidR="00B76ABC" w:rsidRDefault="00B76ABC" w:rsidP="00E920CD">
      <w:pPr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 w:rsidR="00B76ABC" w:rsidRPr="0077576E" w:rsidRDefault="00B76ABC" w:rsidP="0040774F">
      <w:pPr>
        <w:spacing w:line="580" w:lineRule="exact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大会秘书处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2017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16</w:t>
      </w:r>
      <w:r>
        <w:rPr>
          <w:rFonts w:ascii="仿宋_GB2312" w:eastAsia="仿宋_GB2312" w:hint="eastAsia"/>
          <w:sz w:val="32"/>
          <w:szCs w:val="32"/>
          <w:u w:val="single"/>
        </w:rPr>
        <w:t>日印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</w:p>
    <w:sectPr w:rsidR="00B76ABC" w:rsidRPr="0077576E" w:rsidSect="00E920CD">
      <w:headerReference w:type="default" r:id="rId15"/>
      <w:footerReference w:type="default" r:id="rId16"/>
      <w:pgSz w:w="11906" w:h="16838"/>
      <w:pgMar w:top="1985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9C" w:rsidRDefault="00E06E9C" w:rsidP="00A37838">
      <w:r>
        <w:separator/>
      </w:r>
    </w:p>
  </w:endnote>
  <w:endnote w:type="continuationSeparator" w:id="0">
    <w:p w:rsidR="00E06E9C" w:rsidRDefault="00E06E9C" w:rsidP="00A3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C" w:rsidRPr="00E920CD" w:rsidRDefault="00B76ABC">
    <w:pPr>
      <w:pStyle w:val="a4"/>
      <w:jc w:val="center"/>
      <w:rPr>
        <w:rFonts w:ascii="宋体"/>
        <w:sz w:val="28"/>
        <w:szCs w:val="28"/>
      </w:rPr>
    </w:pPr>
    <w:r w:rsidRPr="00E920CD">
      <w:rPr>
        <w:rFonts w:ascii="宋体" w:hAnsi="宋体"/>
        <w:sz w:val="28"/>
        <w:szCs w:val="28"/>
      </w:rPr>
      <w:fldChar w:fldCharType="begin"/>
    </w:r>
    <w:r w:rsidRPr="00E920CD">
      <w:rPr>
        <w:rFonts w:ascii="宋体" w:hAnsi="宋体"/>
        <w:sz w:val="28"/>
        <w:szCs w:val="28"/>
      </w:rPr>
      <w:instrText>PAGE   \* MERGEFORMAT</w:instrText>
    </w:r>
    <w:r w:rsidRPr="00E920CD">
      <w:rPr>
        <w:rFonts w:ascii="宋体" w:hAnsi="宋体"/>
        <w:sz w:val="28"/>
        <w:szCs w:val="28"/>
      </w:rPr>
      <w:fldChar w:fldCharType="separate"/>
    </w:r>
    <w:r w:rsidR="008D27DC" w:rsidRPr="008D27DC">
      <w:rPr>
        <w:rFonts w:ascii="宋体"/>
        <w:noProof/>
        <w:sz w:val="28"/>
        <w:szCs w:val="28"/>
        <w:lang w:val="zh-CN"/>
      </w:rPr>
      <w:t>-</w:t>
    </w:r>
    <w:r w:rsidR="008D27DC">
      <w:rPr>
        <w:rFonts w:ascii="宋体" w:hAnsi="宋体"/>
        <w:noProof/>
        <w:sz w:val="28"/>
        <w:szCs w:val="28"/>
      </w:rPr>
      <w:t xml:space="preserve"> 9 -</w:t>
    </w:r>
    <w:r w:rsidRPr="00E920CD">
      <w:rPr>
        <w:rFonts w:ascii="宋体" w:hAnsi="宋体"/>
        <w:sz w:val="28"/>
        <w:szCs w:val="28"/>
      </w:rPr>
      <w:fldChar w:fldCharType="end"/>
    </w:r>
  </w:p>
  <w:p w:rsidR="00B76ABC" w:rsidRDefault="00B76A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9C" w:rsidRDefault="00E06E9C" w:rsidP="00A37838">
      <w:r>
        <w:separator/>
      </w:r>
    </w:p>
  </w:footnote>
  <w:footnote w:type="continuationSeparator" w:id="0">
    <w:p w:rsidR="00E06E9C" w:rsidRDefault="00E06E9C" w:rsidP="00A3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C" w:rsidRDefault="00B76ABC" w:rsidP="00E920C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EA"/>
    <w:rsid w:val="000034D4"/>
    <w:rsid w:val="00004BB9"/>
    <w:rsid w:val="00005D46"/>
    <w:rsid w:val="00006B57"/>
    <w:rsid w:val="0001209A"/>
    <w:rsid w:val="00013941"/>
    <w:rsid w:val="0001606B"/>
    <w:rsid w:val="000164FD"/>
    <w:rsid w:val="00020D1B"/>
    <w:rsid w:val="00021DAF"/>
    <w:rsid w:val="00022EBF"/>
    <w:rsid w:val="00022F68"/>
    <w:rsid w:val="000245AA"/>
    <w:rsid w:val="00027B62"/>
    <w:rsid w:val="00033A93"/>
    <w:rsid w:val="000343E1"/>
    <w:rsid w:val="000454C9"/>
    <w:rsid w:val="0004567C"/>
    <w:rsid w:val="0004602E"/>
    <w:rsid w:val="000563A9"/>
    <w:rsid w:val="00057B4B"/>
    <w:rsid w:val="00061331"/>
    <w:rsid w:val="00063B19"/>
    <w:rsid w:val="00064031"/>
    <w:rsid w:val="00064EFB"/>
    <w:rsid w:val="00065E85"/>
    <w:rsid w:val="00066496"/>
    <w:rsid w:val="00070B97"/>
    <w:rsid w:val="00075F73"/>
    <w:rsid w:val="000778E8"/>
    <w:rsid w:val="000803D1"/>
    <w:rsid w:val="0008642A"/>
    <w:rsid w:val="00087786"/>
    <w:rsid w:val="000910C9"/>
    <w:rsid w:val="00091B70"/>
    <w:rsid w:val="00095053"/>
    <w:rsid w:val="000A06A7"/>
    <w:rsid w:val="000A5C18"/>
    <w:rsid w:val="000A7927"/>
    <w:rsid w:val="000B3567"/>
    <w:rsid w:val="000B4D7E"/>
    <w:rsid w:val="000C017B"/>
    <w:rsid w:val="000C04F4"/>
    <w:rsid w:val="000C0538"/>
    <w:rsid w:val="000C064F"/>
    <w:rsid w:val="000C0761"/>
    <w:rsid w:val="000C2A29"/>
    <w:rsid w:val="000C44DA"/>
    <w:rsid w:val="000C68BB"/>
    <w:rsid w:val="000D06EF"/>
    <w:rsid w:val="000D0AFC"/>
    <w:rsid w:val="000D1B9F"/>
    <w:rsid w:val="000D3446"/>
    <w:rsid w:val="000D3653"/>
    <w:rsid w:val="000D3A6C"/>
    <w:rsid w:val="000D411C"/>
    <w:rsid w:val="000D681E"/>
    <w:rsid w:val="000E0783"/>
    <w:rsid w:val="000E5678"/>
    <w:rsid w:val="000F0CFF"/>
    <w:rsid w:val="000F6A5F"/>
    <w:rsid w:val="0010093A"/>
    <w:rsid w:val="001038D1"/>
    <w:rsid w:val="00105A71"/>
    <w:rsid w:val="001069C8"/>
    <w:rsid w:val="00114B0E"/>
    <w:rsid w:val="00120153"/>
    <w:rsid w:val="00120582"/>
    <w:rsid w:val="00126E2D"/>
    <w:rsid w:val="0013137C"/>
    <w:rsid w:val="001350B4"/>
    <w:rsid w:val="00135AC5"/>
    <w:rsid w:val="00135DA0"/>
    <w:rsid w:val="00135E4E"/>
    <w:rsid w:val="0014343B"/>
    <w:rsid w:val="00143735"/>
    <w:rsid w:val="00143EDC"/>
    <w:rsid w:val="001466BD"/>
    <w:rsid w:val="00147B53"/>
    <w:rsid w:val="0015193C"/>
    <w:rsid w:val="00151FF9"/>
    <w:rsid w:val="00154B93"/>
    <w:rsid w:val="00160A6B"/>
    <w:rsid w:val="0016459B"/>
    <w:rsid w:val="00164965"/>
    <w:rsid w:val="001651B8"/>
    <w:rsid w:val="00170873"/>
    <w:rsid w:val="0017260E"/>
    <w:rsid w:val="00177231"/>
    <w:rsid w:val="001803D6"/>
    <w:rsid w:val="00185CD3"/>
    <w:rsid w:val="00185FC7"/>
    <w:rsid w:val="00194C0D"/>
    <w:rsid w:val="001968E7"/>
    <w:rsid w:val="001A342A"/>
    <w:rsid w:val="001A68F7"/>
    <w:rsid w:val="001A727D"/>
    <w:rsid w:val="001B03F0"/>
    <w:rsid w:val="001B1119"/>
    <w:rsid w:val="001B122B"/>
    <w:rsid w:val="001B2246"/>
    <w:rsid w:val="001B3FF5"/>
    <w:rsid w:val="001B5B05"/>
    <w:rsid w:val="001C1883"/>
    <w:rsid w:val="001C35D5"/>
    <w:rsid w:val="001C3FB0"/>
    <w:rsid w:val="001C5C59"/>
    <w:rsid w:val="001D1DA6"/>
    <w:rsid w:val="001E3BBE"/>
    <w:rsid w:val="001E73CB"/>
    <w:rsid w:val="001E79B1"/>
    <w:rsid w:val="001F74EB"/>
    <w:rsid w:val="00203260"/>
    <w:rsid w:val="002039B5"/>
    <w:rsid w:val="00207FF7"/>
    <w:rsid w:val="002119A9"/>
    <w:rsid w:val="00212121"/>
    <w:rsid w:val="00214E14"/>
    <w:rsid w:val="002178AC"/>
    <w:rsid w:val="00220FFF"/>
    <w:rsid w:val="002215F1"/>
    <w:rsid w:val="00221DE3"/>
    <w:rsid w:val="002256CE"/>
    <w:rsid w:val="0022729D"/>
    <w:rsid w:val="002276D3"/>
    <w:rsid w:val="00231933"/>
    <w:rsid w:val="00231E44"/>
    <w:rsid w:val="00236873"/>
    <w:rsid w:val="0024079A"/>
    <w:rsid w:val="00241100"/>
    <w:rsid w:val="002422A7"/>
    <w:rsid w:val="00244267"/>
    <w:rsid w:val="00246D08"/>
    <w:rsid w:val="00254385"/>
    <w:rsid w:val="00256A0B"/>
    <w:rsid w:val="00257F63"/>
    <w:rsid w:val="00260C62"/>
    <w:rsid w:val="002615F3"/>
    <w:rsid w:val="00275D94"/>
    <w:rsid w:val="00276616"/>
    <w:rsid w:val="00283EC7"/>
    <w:rsid w:val="00284551"/>
    <w:rsid w:val="00284C00"/>
    <w:rsid w:val="00291441"/>
    <w:rsid w:val="00292090"/>
    <w:rsid w:val="00293DF1"/>
    <w:rsid w:val="002946F3"/>
    <w:rsid w:val="00296F0F"/>
    <w:rsid w:val="002A0C60"/>
    <w:rsid w:val="002A3F16"/>
    <w:rsid w:val="002A5944"/>
    <w:rsid w:val="002B03C4"/>
    <w:rsid w:val="002B2C74"/>
    <w:rsid w:val="002B3EF0"/>
    <w:rsid w:val="002B408D"/>
    <w:rsid w:val="002B4B03"/>
    <w:rsid w:val="002B722E"/>
    <w:rsid w:val="002D715A"/>
    <w:rsid w:val="002E04C4"/>
    <w:rsid w:val="002E3F2B"/>
    <w:rsid w:val="002E6446"/>
    <w:rsid w:val="002F09A7"/>
    <w:rsid w:val="002F0E24"/>
    <w:rsid w:val="002F3B3B"/>
    <w:rsid w:val="002F3D56"/>
    <w:rsid w:val="002F7F2D"/>
    <w:rsid w:val="00300181"/>
    <w:rsid w:val="003023CC"/>
    <w:rsid w:val="00303506"/>
    <w:rsid w:val="003043AD"/>
    <w:rsid w:val="00306D39"/>
    <w:rsid w:val="00311629"/>
    <w:rsid w:val="00314274"/>
    <w:rsid w:val="003148B8"/>
    <w:rsid w:val="00316DFA"/>
    <w:rsid w:val="003216DD"/>
    <w:rsid w:val="00324017"/>
    <w:rsid w:val="003309F7"/>
    <w:rsid w:val="00333999"/>
    <w:rsid w:val="00337142"/>
    <w:rsid w:val="0034119E"/>
    <w:rsid w:val="00341DA8"/>
    <w:rsid w:val="003439FA"/>
    <w:rsid w:val="00343A12"/>
    <w:rsid w:val="003466BA"/>
    <w:rsid w:val="003520A6"/>
    <w:rsid w:val="003618B6"/>
    <w:rsid w:val="0036271B"/>
    <w:rsid w:val="00364C86"/>
    <w:rsid w:val="00371757"/>
    <w:rsid w:val="0037435C"/>
    <w:rsid w:val="00382443"/>
    <w:rsid w:val="00390542"/>
    <w:rsid w:val="003905AB"/>
    <w:rsid w:val="003916F5"/>
    <w:rsid w:val="0039243E"/>
    <w:rsid w:val="00397C68"/>
    <w:rsid w:val="003A084B"/>
    <w:rsid w:val="003A1399"/>
    <w:rsid w:val="003A232A"/>
    <w:rsid w:val="003A2B5D"/>
    <w:rsid w:val="003A468E"/>
    <w:rsid w:val="003A46C9"/>
    <w:rsid w:val="003A73AA"/>
    <w:rsid w:val="003A7DF0"/>
    <w:rsid w:val="003B06A9"/>
    <w:rsid w:val="003B19A8"/>
    <w:rsid w:val="003B284E"/>
    <w:rsid w:val="003B41CB"/>
    <w:rsid w:val="003B654D"/>
    <w:rsid w:val="003B7B5A"/>
    <w:rsid w:val="003C0D92"/>
    <w:rsid w:val="003C10F8"/>
    <w:rsid w:val="003C4965"/>
    <w:rsid w:val="003C56B8"/>
    <w:rsid w:val="003C62F6"/>
    <w:rsid w:val="003D0A84"/>
    <w:rsid w:val="003D224F"/>
    <w:rsid w:val="003D3121"/>
    <w:rsid w:val="003D351A"/>
    <w:rsid w:val="003D5D71"/>
    <w:rsid w:val="003D6AEA"/>
    <w:rsid w:val="003D7157"/>
    <w:rsid w:val="003E470B"/>
    <w:rsid w:val="003E63DD"/>
    <w:rsid w:val="003E7B21"/>
    <w:rsid w:val="003F452A"/>
    <w:rsid w:val="003F4CE6"/>
    <w:rsid w:val="003F7650"/>
    <w:rsid w:val="00400F15"/>
    <w:rsid w:val="00405BB3"/>
    <w:rsid w:val="004072CA"/>
    <w:rsid w:val="0040774F"/>
    <w:rsid w:val="00414646"/>
    <w:rsid w:val="0041646A"/>
    <w:rsid w:val="004175CD"/>
    <w:rsid w:val="00420B59"/>
    <w:rsid w:val="00423E5D"/>
    <w:rsid w:val="00425EC8"/>
    <w:rsid w:val="004276FE"/>
    <w:rsid w:val="00431001"/>
    <w:rsid w:val="00434FBF"/>
    <w:rsid w:val="0044115D"/>
    <w:rsid w:val="0044130A"/>
    <w:rsid w:val="00442EC5"/>
    <w:rsid w:val="004449FC"/>
    <w:rsid w:val="00445CDF"/>
    <w:rsid w:val="00446E2B"/>
    <w:rsid w:val="0045333D"/>
    <w:rsid w:val="004571E5"/>
    <w:rsid w:val="00460435"/>
    <w:rsid w:val="00460E6E"/>
    <w:rsid w:val="00461D6A"/>
    <w:rsid w:val="004633C5"/>
    <w:rsid w:val="00463489"/>
    <w:rsid w:val="004647A1"/>
    <w:rsid w:val="00465773"/>
    <w:rsid w:val="00466CFC"/>
    <w:rsid w:val="0047526C"/>
    <w:rsid w:val="00475B6D"/>
    <w:rsid w:val="00477277"/>
    <w:rsid w:val="00484C73"/>
    <w:rsid w:val="00490C55"/>
    <w:rsid w:val="00494312"/>
    <w:rsid w:val="00497615"/>
    <w:rsid w:val="004A0E97"/>
    <w:rsid w:val="004A3198"/>
    <w:rsid w:val="004A74C6"/>
    <w:rsid w:val="004B15D0"/>
    <w:rsid w:val="004B7E60"/>
    <w:rsid w:val="004C18C7"/>
    <w:rsid w:val="004C397B"/>
    <w:rsid w:val="004D0C50"/>
    <w:rsid w:val="004D0C7E"/>
    <w:rsid w:val="004D0D68"/>
    <w:rsid w:val="004D12C2"/>
    <w:rsid w:val="004D3C47"/>
    <w:rsid w:val="004D4D85"/>
    <w:rsid w:val="004E06E1"/>
    <w:rsid w:val="004E1CE0"/>
    <w:rsid w:val="004E2943"/>
    <w:rsid w:val="004F0171"/>
    <w:rsid w:val="004F232F"/>
    <w:rsid w:val="004F3C07"/>
    <w:rsid w:val="005017C7"/>
    <w:rsid w:val="00503B4E"/>
    <w:rsid w:val="00503B64"/>
    <w:rsid w:val="0050501E"/>
    <w:rsid w:val="005064DE"/>
    <w:rsid w:val="00512709"/>
    <w:rsid w:val="00516286"/>
    <w:rsid w:val="00517718"/>
    <w:rsid w:val="00517EE2"/>
    <w:rsid w:val="00521B65"/>
    <w:rsid w:val="00522BE0"/>
    <w:rsid w:val="00522C08"/>
    <w:rsid w:val="005252D1"/>
    <w:rsid w:val="00526810"/>
    <w:rsid w:val="005335E2"/>
    <w:rsid w:val="00533E2D"/>
    <w:rsid w:val="0054225C"/>
    <w:rsid w:val="00543A20"/>
    <w:rsid w:val="00546F1F"/>
    <w:rsid w:val="00547499"/>
    <w:rsid w:val="005475AD"/>
    <w:rsid w:val="005528FA"/>
    <w:rsid w:val="0055430B"/>
    <w:rsid w:val="005544FC"/>
    <w:rsid w:val="00562B39"/>
    <w:rsid w:val="00563006"/>
    <w:rsid w:val="005637CA"/>
    <w:rsid w:val="00565CA6"/>
    <w:rsid w:val="00570A1C"/>
    <w:rsid w:val="005714C9"/>
    <w:rsid w:val="00572FD4"/>
    <w:rsid w:val="00573B30"/>
    <w:rsid w:val="0058043E"/>
    <w:rsid w:val="00587BE5"/>
    <w:rsid w:val="00590E22"/>
    <w:rsid w:val="005925E5"/>
    <w:rsid w:val="00593377"/>
    <w:rsid w:val="005958B5"/>
    <w:rsid w:val="00596077"/>
    <w:rsid w:val="005A093F"/>
    <w:rsid w:val="005A31DF"/>
    <w:rsid w:val="005A5DBB"/>
    <w:rsid w:val="005A6B23"/>
    <w:rsid w:val="005B3A7F"/>
    <w:rsid w:val="005B46AB"/>
    <w:rsid w:val="005B565B"/>
    <w:rsid w:val="005B6D40"/>
    <w:rsid w:val="005C3C4E"/>
    <w:rsid w:val="005C5508"/>
    <w:rsid w:val="005C75C3"/>
    <w:rsid w:val="005D0178"/>
    <w:rsid w:val="005D294F"/>
    <w:rsid w:val="005D3797"/>
    <w:rsid w:val="005D45BC"/>
    <w:rsid w:val="005D5E54"/>
    <w:rsid w:val="005D5F44"/>
    <w:rsid w:val="005D7989"/>
    <w:rsid w:val="005E1180"/>
    <w:rsid w:val="005E2305"/>
    <w:rsid w:val="005E34EA"/>
    <w:rsid w:val="005E38C4"/>
    <w:rsid w:val="005F0C5A"/>
    <w:rsid w:val="005F3A41"/>
    <w:rsid w:val="005F5B04"/>
    <w:rsid w:val="00601EFD"/>
    <w:rsid w:val="00603B19"/>
    <w:rsid w:val="00603D74"/>
    <w:rsid w:val="00604336"/>
    <w:rsid w:val="00605AB4"/>
    <w:rsid w:val="006106F0"/>
    <w:rsid w:val="00610A20"/>
    <w:rsid w:val="006118CA"/>
    <w:rsid w:val="00616D92"/>
    <w:rsid w:val="00617A83"/>
    <w:rsid w:val="00625F26"/>
    <w:rsid w:val="00630B13"/>
    <w:rsid w:val="00631E4C"/>
    <w:rsid w:val="00633EA8"/>
    <w:rsid w:val="00635988"/>
    <w:rsid w:val="00636F7D"/>
    <w:rsid w:val="00637068"/>
    <w:rsid w:val="00641BBF"/>
    <w:rsid w:val="006435D1"/>
    <w:rsid w:val="0064575A"/>
    <w:rsid w:val="00645D28"/>
    <w:rsid w:val="0064605C"/>
    <w:rsid w:val="0064721A"/>
    <w:rsid w:val="00650554"/>
    <w:rsid w:val="00654548"/>
    <w:rsid w:val="006576D4"/>
    <w:rsid w:val="00657BD9"/>
    <w:rsid w:val="00665531"/>
    <w:rsid w:val="00670E90"/>
    <w:rsid w:val="00671975"/>
    <w:rsid w:val="00671CD6"/>
    <w:rsid w:val="00682D27"/>
    <w:rsid w:val="00683BED"/>
    <w:rsid w:val="00684F34"/>
    <w:rsid w:val="006926D8"/>
    <w:rsid w:val="00692C58"/>
    <w:rsid w:val="006933F4"/>
    <w:rsid w:val="00693977"/>
    <w:rsid w:val="00696100"/>
    <w:rsid w:val="0069787A"/>
    <w:rsid w:val="006A0E6E"/>
    <w:rsid w:val="006A11ED"/>
    <w:rsid w:val="006A2637"/>
    <w:rsid w:val="006A6345"/>
    <w:rsid w:val="006B2A64"/>
    <w:rsid w:val="006B453B"/>
    <w:rsid w:val="006B5041"/>
    <w:rsid w:val="006B62B9"/>
    <w:rsid w:val="006B7D77"/>
    <w:rsid w:val="006C032F"/>
    <w:rsid w:val="006C79EC"/>
    <w:rsid w:val="006D02F6"/>
    <w:rsid w:val="006D0C57"/>
    <w:rsid w:val="006D1B22"/>
    <w:rsid w:val="006D3799"/>
    <w:rsid w:val="006D427B"/>
    <w:rsid w:val="006D47D0"/>
    <w:rsid w:val="006D716B"/>
    <w:rsid w:val="006D7715"/>
    <w:rsid w:val="006D7D40"/>
    <w:rsid w:val="006D7F63"/>
    <w:rsid w:val="006E16B0"/>
    <w:rsid w:val="006E4D37"/>
    <w:rsid w:val="006E6A51"/>
    <w:rsid w:val="006E6E2A"/>
    <w:rsid w:val="006F130A"/>
    <w:rsid w:val="006F4EEC"/>
    <w:rsid w:val="006F6B0E"/>
    <w:rsid w:val="006F7820"/>
    <w:rsid w:val="00700FFE"/>
    <w:rsid w:val="0070325F"/>
    <w:rsid w:val="00706D85"/>
    <w:rsid w:val="007100BB"/>
    <w:rsid w:val="00712B77"/>
    <w:rsid w:val="00714131"/>
    <w:rsid w:val="00715826"/>
    <w:rsid w:val="00717EFC"/>
    <w:rsid w:val="00724B70"/>
    <w:rsid w:val="00727340"/>
    <w:rsid w:val="00731C77"/>
    <w:rsid w:val="0073288C"/>
    <w:rsid w:val="00733FBF"/>
    <w:rsid w:val="00735A21"/>
    <w:rsid w:val="0074053C"/>
    <w:rsid w:val="0074625B"/>
    <w:rsid w:val="007464F5"/>
    <w:rsid w:val="00752675"/>
    <w:rsid w:val="007539C0"/>
    <w:rsid w:val="00760175"/>
    <w:rsid w:val="007637A9"/>
    <w:rsid w:val="00763DE3"/>
    <w:rsid w:val="00766902"/>
    <w:rsid w:val="0077219C"/>
    <w:rsid w:val="00774200"/>
    <w:rsid w:val="0077576E"/>
    <w:rsid w:val="00782C41"/>
    <w:rsid w:val="00785A80"/>
    <w:rsid w:val="0078607E"/>
    <w:rsid w:val="0079059E"/>
    <w:rsid w:val="00792158"/>
    <w:rsid w:val="00793E0C"/>
    <w:rsid w:val="00795CAE"/>
    <w:rsid w:val="007967E8"/>
    <w:rsid w:val="00796B59"/>
    <w:rsid w:val="007A097C"/>
    <w:rsid w:val="007A6114"/>
    <w:rsid w:val="007A70BF"/>
    <w:rsid w:val="007B27EC"/>
    <w:rsid w:val="007B6561"/>
    <w:rsid w:val="007C135A"/>
    <w:rsid w:val="007C1573"/>
    <w:rsid w:val="007C2B20"/>
    <w:rsid w:val="007C3E26"/>
    <w:rsid w:val="007C3E4D"/>
    <w:rsid w:val="007C46FE"/>
    <w:rsid w:val="007C4727"/>
    <w:rsid w:val="007C61D9"/>
    <w:rsid w:val="007C6DF3"/>
    <w:rsid w:val="007D0D37"/>
    <w:rsid w:val="007D1BFF"/>
    <w:rsid w:val="007D279A"/>
    <w:rsid w:val="007D4182"/>
    <w:rsid w:val="007D7DB5"/>
    <w:rsid w:val="007E6210"/>
    <w:rsid w:val="007F4630"/>
    <w:rsid w:val="00801658"/>
    <w:rsid w:val="00801EB1"/>
    <w:rsid w:val="0080239E"/>
    <w:rsid w:val="00802688"/>
    <w:rsid w:val="00804F35"/>
    <w:rsid w:val="00806BEF"/>
    <w:rsid w:val="00811424"/>
    <w:rsid w:val="00811AD6"/>
    <w:rsid w:val="008166C0"/>
    <w:rsid w:val="00820C8D"/>
    <w:rsid w:val="008216E8"/>
    <w:rsid w:val="00821DA4"/>
    <w:rsid w:val="00822A8C"/>
    <w:rsid w:val="00824816"/>
    <w:rsid w:val="00826060"/>
    <w:rsid w:val="00827972"/>
    <w:rsid w:val="00831504"/>
    <w:rsid w:val="00831DE1"/>
    <w:rsid w:val="008322A5"/>
    <w:rsid w:val="0083424B"/>
    <w:rsid w:val="00836FA5"/>
    <w:rsid w:val="00837269"/>
    <w:rsid w:val="00847CEA"/>
    <w:rsid w:val="00847EA8"/>
    <w:rsid w:val="00850FAD"/>
    <w:rsid w:val="00852A1D"/>
    <w:rsid w:val="008534D6"/>
    <w:rsid w:val="00857BD5"/>
    <w:rsid w:val="00865142"/>
    <w:rsid w:val="00865E93"/>
    <w:rsid w:val="00870FE0"/>
    <w:rsid w:val="00876761"/>
    <w:rsid w:val="00877852"/>
    <w:rsid w:val="0088563F"/>
    <w:rsid w:val="0088587A"/>
    <w:rsid w:val="0088702B"/>
    <w:rsid w:val="00890CAA"/>
    <w:rsid w:val="00894CC1"/>
    <w:rsid w:val="00894DC5"/>
    <w:rsid w:val="00896C86"/>
    <w:rsid w:val="008A5535"/>
    <w:rsid w:val="008A7130"/>
    <w:rsid w:val="008B0BE2"/>
    <w:rsid w:val="008B5767"/>
    <w:rsid w:val="008B7BEE"/>
    <w:rsid w:val="008C1C28"/>
    <w:rsid w:val="008C3185"/>
    <w:rsid w:val="008C534B"/>
    <w:rsid w:val="008D0131"/>
    <w:rsid w:val="008D1DF8"/>
    <w:rsid w:val="008D27DC"/>
    <w:rsid w:val="008D5783"/>
    <w:rsid w:val="008D5D63"/>
    <w:rsid w:val="008D70DA"/>
    <w:rsid w:val="008E4A37"/>
    <w:rsid w:val="008F0DBB"/>
    <w:rsid w:val="008F547C"/>
    <w:rsid w:val="008F62B1"/>
    <w:rsid w:val="00904C82"/>
    <w:rsid w:val="0090675D"/>
    <w:rsid w:val="009069AA"/>
    <w:rsid w:val="009079B6"/>
    <w:rsid w:val="00907CD5"/>
    <w:rsid w:val="00910F86"/>
    <w:rsid w:val="0091376B"/>
    <w:rsid w:val="00915FDF"/>
    <w:rsid w:val="00917D65"/>
    <w:rsid w:val="00936647"/>
    <w:rsid w:val="00937F65"/>
    <w:rsid w:val="00940AB7"/>
    <w:rsid w:val="009419A4"/>
    <w:rsid w:val="00942908"/>
    <w:rsid w:val="00942DDE"/>
    <w:rsid w:val="00947E8F"/>
    <w:rsid w:val="009532BA"/>
    <w:rsid w:val="00953D8D"/>
    <w:rsid w:val="009570A7"/>
    <w:rsid w:val="0096721C"/>
    <w:rsid w:val="0097317C"/>
    <w:rsid w:val="00977A08"/>
    <w:rsid w:val="00985AB9"/>
    <w:rsid w:val="00986057"/>
    <w:rsid w:val="009864EB"/>
    <w:rsid w:val="009870ED"/>
    <w:rsid w:val="009876B7"/>
    <w:rsid w:val="00995B2E"/>
    <w:rsid w:val="00997657"/>
    <w:rsid w:val="009A0AB6"/>
    <w:rsid w:val="009A4E87"/>
    <w:rsid w:val="009A565F"/>
    <w:rsid w:val="009A56FB"/>
    <w:rsid w:val="009A581E"/>
    <w:rsid w:val="009A7F05"/>
    <w:rsid w:val="009B25E8"/>
    <w:rsid w:val="009B3A7D"/>
    <w:rsid w:val="009B5BD0"/>
    <w:rsid w:val="009C0A95"/>
    <w:rsid w:val="009C1F64"/>
    <w:rsid w:val="009C2B81"/>
    <w:rsid w:val="009C3CAE"/>
    <w:rsid w:val="009C467A"/>
    <w:rsid w:val="009C6320"/>
    <w:rsid w:val="009C73B3"/>
    <w:rsid w:val="009D02DB"/>
    <w:rsid w:val="009D1054"/>
    <w:rsid w:val="009D1FB8"/>
    <w:rsid w:val="009D55E2"/>
    <w:rsid w:val="009D5FBA"/>
    <w:rsid w:val="009E004E"/>
    <w:rsid w:val="009E27D8"/>
    <w:rsid w:val="009E6536"/>
    <w:rsid w:val="009E762B"/>
    <w:rsid w:val="009E7C6D"/>
    <w:rsid w:val="009F4A37"/>
    <w:rsid w:val="009F6CE2"/>
    <w:rsid w:val="00A12E2C"/>
    <w:rsid w:val="00A13E35"/>
    <w:rsid w:val="00A14C0D"/>
    <w:rsid w:val="00A26653"/>
    <w:rsid w:val="00A26F38"/>
    <w:rsid w:val="00A27A2C"/>
    <w:rsid w:val="00A27A48"/>
    <w:rsid w:val="00A37838"/>
    <w:rsid w:val="00A4449E"/>
    <w:rsid w:val="00A44CFD"/>
    <w:rsid w:val="00A4501E"/>
    <w:rsid w:val="00A46550"/>
    <w:rsid w:val="00A5394B"/>
    <w:rsid w:val="00A55B17"/>
    <w:rsid w:val="00A577E7"/>
    <w:rsid w:val="00A57D0C"/>
    <w:rsid w:val="00A600D4"/>
    <w:rsid w:val="00A60D9C"/>
    <w:rsid w:val="00A704C1"/>
    <w:rsid w:val="00A7076F"/>
    <w:rsid w:val="00A73EE1"/>
    <w:rsid w:val="00A75769"/>
    <w:rsid w:val="00A800B6"/>
    <w:rsid w:val="00A81610"/>
    <w:rsid w:val="00A8594B"/>
    <w:rsid w:val="00A8700B"/>
    <w:rsid w:val="00A952D5"/>
    <w:rsid w:val="00A95BE5"/>
    <w:rsid w:val="00A96A39"/>
    <w:rsid w:val="00A97603"/>
    <w:rsid w:val="00AA62FF"/>
    <w:rsid w:val="00AA6F09"/>
    <w:rsid w:val="00AA74F5"/>
    <w:rsid w:val="00AB0E71"/>
    <w:rsid w:val="00AB3E84"/>
    <w:rsid w:val="00AB5AE7"/>
    <w:rsid w:val="00AC5DB6"/>
    <w:rsid w:val="00AD17DE"/>
    <w:rsid w:val="00AD2079"/>
    <w:rsid w:val="00AD3732"/>
    <w:rsid w:val="00AD390D"/>
    <w:rsid w:val="00AD625F"/>
    <w:rsid w:val="00AD722E"/>
    <w:rsid w:val="00AD77BE"/>
    <w:rsid w:val="00AD7B02"/>
    <w:rsid w:val="00AD7F09"/>
    <w:rsid w:val="00AE0893"/>
    <w:rsid w:val="00AE137D"/>
    <w:rsid w:val="00AE1B1E"/>
    <w:rsid w:val="00AE3A08"/>
    <w:rsid w:val="00AE4508"/>
    <w:rsid w:val="00AE498F"/>
    <w:rsid w:val="00AE79C0"/>
    <w:rsid w:val="00AF1FBB"/>
    <w:rsid w:val="00AF2605"/>
    <w:rsid w:val="00B0297E"/>
    <w:rsid w:val="00B030A7"/>
    <w:rsid w:val="00B05ACA"/>
    <w:rsid w:val="00B07594"/>
    <w:rsid w:val="00B10253"/>
    <w:rsid w:val="00B15B32"/>
    <w:rsid w:val="00B17C5D"/>
    <w:rsid w:val="00B22E6F"/>
    <w:rsid w:val="00B24F2B"/>
    <w:rsid w:val="00B3300D"/>
    <w:rsid w:val="00B34120"/>
    <w:rsid w:val="00B345F5"/>
    <w:rsid w:val="00B3483A"/>
    <w:rsid w:val="00B35528"/>
    <w:rsid w:val="00B35A2B"/>
    <w:rsid w:val="00B377C6"/>
    <w:rsid w:val="00B37CDD"/>
    <w:rsid w:val="00B44357"/>
    <w:rsid w:val="00B445FF"/>
    <w:rsid w:val="00B46C8D"/>
    <w:rsid w:val="00B46D78"/>
    <w:rsid w:val="00B51E43"/>
    <w:rsid w:val="00B551DC"/>
    <w:rsid w:val="00B55C4C"/>
    <w:rsid w:val="00B60EC7"/>
    <w:rsid w:val="00B62111"/>
    <w:rsid w:val="00B63DE9"/>
    <w:rsid w:val="00B71E71"/>
    <w:rsid w:val="00B74048"/>
    <w:rsid w:val="00B741D7"/>
    <w:rsid w:val="00B74C92"/>
    <w:rsid w:val="00B74E13"/>
    <w:rsid w:val="00B750D0"/>
    <w:rsid w:val="00B754F9"/>
    <w:rsid w:val="00B76ABC"/>
    <w:rsid w:val="00B7716C"/>
    <w:rsid w:val="00B818F3"/>
    <w:rsid w:val="00B823BE"/>
    <w:rsid w:val="00B86340"/>
    <w:rsid w:val="00B9354F"/>
    <w:rsid w:val="00B937C6"/>
    <w:rsid w:val="00B94C78"/>
    <w:rsid w:val="00B9772D"/>
    <w:rsid w:val="00BA3A03"/>
    <w:rsid w:val="00BA79C8"/>
    <w:rsid w:val="00BA7B7D"/>
    <w:rsid w:val="00BB0288"/>
    <w:rsid w:val="00BB0AA2"/>
    <w:rsid w:val="00BB176B"/>
    <w:rsid w:val="00BB5FC8"/>
    <w:rsid w:val="00BB78A4"/>
    <w:rsid w:val="00BB7FFE"/>
    <w:rsid w:val="00BC0AAB"/>
    <w:rsid w:val="00BC0E10"/>
    <w:rsid w:val="00BC16BF"/>
    <w:rsid w:val="00BC3677"/>
    <w:rsid w:val="00BC4701"/>
    <w:rsid w:val="00BD1A8C"/>
    <w:rsid w:val="00BD4DD5"/>
    <w:rsid w:val="00BE7CE0"/>
    <w:rsid w:val="00BF2BA0"/>
    <w:rsid w:val="00BF2CB1"/>
    <w:rsid w:val="00BF41BF"/>
    <w:rsid w:val="00BF433E"/>
    <w:rsid w:val="00BF487A"/>
    <w:rsid w:val="00C0425D"/>
    <w:rsid w:val="00C06962"/>
    <w:rsid w:val="00C079B0"/>
    <w:rsid w:val="00C1175C"/>
    <w:rsid w:val="00C14F9E"/>
    <w:rsid w:val="00C15B78"/>
    <w:rsid w:val="00C16646"/>
    <w:rsid w:val="00C167E7"/>
    <w:rsid w:val="00C219C0"/>
    <w:rsid w:val="00C22DB5"/>
    <w:rsid w:val="00C3010F"/>
    <w:rsid w:val="00C33BE5"/>
    <w:rsid w:val="00C37753"/>
    <w:rsid w:val="00C41D2A"/>
    <w:rsid w:val="00C43AF3"/>
    <w:rsid w:val="00C47C2E"/>
    <w:rsid w:val="00C51856"/>
    <w:rsid w:val="00C522BC"/>
    <w:rsid w:val="00C54BE3"/>
    <w:rsid w:val="00C54DE7"/>
    <w:rsid w:val="00C55FF6"/>
    <w:rsid w:val="00C62587"/>
    <w:rsid w:val="00C65031"/>
    <w:rsid w:val="00C659B2"/>
    <w:rsid w:val="00C65F3C"/>
    <w:rsid w:val="00C66CF5"/>
    <w:rsid w:val="00C73622"/>
    <w:rsid w:val="00C73E9E"/>
    <w:rsid w:val="00C822D7"/>
    <w:rsid w:val="00C85EA4"/>
    <w:rsid w:val="00C87E4E"/>
    <w:rsid w:val="00C90016"/>
    <w:rsid w:val="00C9112B"/>
    <w:rsid w:val="00CA049A"/>
    <w:rsid w:val="00CA05C7"/>
    <w:rsid w:val="00CA2646"/>
    <w:rsid w:val="00CA4952"/>
    <w:rsid w:val="00CA5710"/>
    <w:rsid w:val="00CA688A"/>
    <w:rsid w:val="00CA6EBB"/>
    <w:rsid w:val="00CB05DE"/>
    <w:rsid w:val="00CB583B"/>
    <w:rsid w:val="00CB7CA4"/>
    <w:rsid w:val="00CD02BE"/>
    <w:rsid w:val="00CD14C1"/>
    <w:rsid w:val="00CD14FF"/>
    <w:rsid w:val="00CD2389"/>
    <w:rsid w:val="00CD378F"/>
    <w:rsid w:val="00CD3D25"/>
    <w:rsid w:val="00CD4CDA"/>
    <w:rsid w:val="00CD4EF2"/>
    <w:rsid w:val="00CD50C3"/>
    <w:rsid w:val="00CD7174"/>
    <w:rsid w:val="00CD7E4B"/>
    <w:rsid w:val="00CE3591"/>
    <w:rsid w:val="00CE7F29"/>
    <w:rsid w:val="00CF1637"/>
    <w:rsid w:val="00CF16E8"/>
    <w:rsid w:val="00CF1D70"/>
    <w:rsid w:val="00CF266C"/>
    <w:rsid w:val="00CF7842"/>
    <w:rsid w:val="00D001A9"/>
    <w:rsid w:val="00D0490F"/>
    <w:rsid w:val="00D065C1"/>
    <w:rsid w:val="00D12C5E"/>
    <w:rsid w:val="00D13698"/>
    <w:rsid w:val="00D17F93"/>
    <w:rsid w:val="00D23D40"/>
    <w:rsid w:val="00D27C76"/>
    <w:rsid w:val="00D301E1"/>
    <w:rsid w:val="00D30F6B"/>
    <w:rsid w:val="00D32329"/>
    <w:rsid w:val="00D32337"/>
    <w:rsid w:val="00D32E7D"/>
    <w:rsid w:val="00D332FD"/>
    <w:rsid w:val="00D406E2"/>
    <w:rsid w:val="00D41521"/>
    <w:rsid w:val="00D46B81"/>
    <w:rsid w:val="00D5014B"/>
    <w:rsid w:val="00D54368"/>
    <w:rsid w:val="00D563E8"/>
    <w:rsid w:val="00D5735C"/>
    <w:rsid w:val="00D608E2"/>
    <w:rsid w:val="00D62C25"/>
    <w:rsid w:val="00D62F1A"/>
    <w:rsid w:val="00D63D89"/>
    <w:rsid w:val="00D66517"/>
    <w:rsid w:val="00D7108E"/>
    <w:rsid w:val="00D72202"/>
    <w:rsid w:val="00D72659"/>
    <w:rsid w:val="00D7299B"/>
    <w:rsid w:val="00D73A95"/>
    <w:rsid w:val="00D77BF9"/>
    <w:rsid w:val="00D81F01"/>
    <w:rsid w:val="00D8236C"/>
    <w:rsid w:val="00D84AF8"/>
    <w:rsid w:val="00D853CD"/>
    <w:rsid w:val="00D876A7"/>
    <w:rsid w:val="00D90697"/>
    <w:rsid w:val="00D9536E"/>
    <w:rsid w:val="00D97AF0"/>
    <w:rsid w:val="00DA09D5"/>
    <w:rsid w:val="00DA0F85"/>
    <w:rsid w:val="00DA1FAB"/>
    <w:rsid w:val="00DA5B0A"/>
    <w:rsid w:val="00DA6362"/>
    <w:rsid w:val="00DA6A41"/>
    <w:rsid w:val="00DB1FF0"/>
    <w:rsid w:val="00DB4489"/>
    <w:rsid w:val="00DC101F"/>
    <w:rsid w:val="00DC133E"/>
    <w:rsid w:val="00DC149A"/>
    <w:rsid w:val="00DC3513"/>
    <w:rsid w:val="00DC54E8"/>
    <w:rsid w:val="00DC6908"/>
    <w:rsid w:val="00DC789D"/>
    <w:rsid w:val="00DD2CB6"/>
    <w:rsid w:val="00DD6E7A"/>
    <w:rsid w:val="00DD73B5"/>
    <w:rsid w:val="00DE0520"/>
    <w:rsid w:val="00DE09F0"/>
    <w:rsid w:val="00DE4872"/>
    <w:rsid w:val="00DF6A9A"/>
    <w:rsid w:val="00DF6F97"/>
    <w:rsid w:val="00DF7BB1"/>
    <w:rsid w:val="00DF7C78"/>
    <w:rsid w:val="00E0094C"/>
    <w:rsid w:val="00E01652"/>
    <w:rsid w:val="00E01DE1"/>
    <w:rsid w:val="00E02C2E"/>
    <w:rsid w:val="00E06E8D"/>
    <w:rsid w:val="00E06E9C"/>
    <w:rsid w:val="00E13412"/>
    <w:rsid w:val="00E14891"/>
    <w:rsid w:val="00E15A46"/>
    <w:rsid w:val="00E16D3E"/>
    <w:rsid w:val="00E1790D"/>
    <w:rsid w:val="00E20111"/>
    <w:rsid w:val="00E2438C"/>
    <w:rsid w:val="00E26F8F"/>
    <w:rsid w:val="00E30C61"/>
    <w:rsid w:val="00E32D6E"/>
    <w:rsid w:val="00E334E7"/>
    <w:rsid w:val="00E3366A"/>
    <w:rsid w:val="00E371E9"/>
    <w:rsid w:val="00E40747"/>
    <w:rsid w:val="00E42A49"/>
    <w:rsid w:val="00E42BB5"/>
    <w:rsid w:val="00E565B3"/>
    <w:rsid w:val="00E63593"/>
    <w:rsid w:val="00E63E2F"/>
    <w:rsid w:val="00E70AF1"/>
    <w:rsid w:val="00E71A5A"/>
    <w:rsid w:val="00E7276C"/>
    <w:rsid w:val="00E72777"/>
    <w:rsid w:val="00E737A2"/>
    <w:rsid w:val="00E7426F"/>
    <w:rsid w:val="00E75A60"/>
    <w:rsid w:val="00E75F13"/>
    <w:rsid w:val="00E81296"/>
    <w:rsid w:val="00E84770"/>
    <w:rsid w:val="00E856B4"/>
    <w:rsid w:val="00E85BDD"/>
    <w:rsid w:val="00E85CF6"/>
    <w:rsid w:val="00E91880"/>
    <w:rsid w:val="00E920CD"/>
    <w:rsid w:val="00E92953"/>
    <w:rsid w:val="00E9328E"/>
    <w:rsid w:val="00E96220"/>
    <w:rsid w:val="00EA2A23"/>
    <w:rsid w:val="00EA38C2"/>
    <w:rsid w:val="00EA51B1"/>
    <w:rsid w:val="00EA7E46"/>
    <w:rsid w:val="00EA7FC6"/>
    <w:rsid w:val="00EB16CD"/>
    <w:rsid w:val="00EB2B92"/>
    <w:rsid w:val="00EB59EC"/>
    <w:rsid w:val="00EC236B"/>
    <w:rsid w:val="00ED17D8"/>
    <w:rsid w:val="00ED21FB"/>
    <w:rsid w:val="00ED2215"/>
    <w:rsid w:val="00ED39E8"/>
    <w:rsid w:val="00ED7398"/>
    <w:rsid w:val="00EE1F3C"/>
    <w:rsid w:val="00EE48AB"/>
    <w:rsid w:val="00EE6102"/>
    <w:rsid w:val="00EF0AF9"/>
    <w:rsid w:val="00EF0F9F"/>
    <w:rsid w:val="00EF3524"/>
    <w:rsid w:val="00EF4D34"/>
    <w:rsid w:val="00EF5E6E"/>
    <w:rsid w:val="00F0032D"/>
    <w:rsid w:val="00F01A9E"/>
    <w:rsid w:val="00F05C56"/>
    <w:rsid w:val="00F06149"/>
    <w:rsid w:val="00F117F1"/>
    <w:rsid w:val="00F1238A"/>
    <w:rsid w:val="00F13D60"/>
    <w:rsid w:val="00F14CA2"/>
    <w:rsid w:val="00F17B7D"/>
    <w:rsid w:val="00F20C6C"/>
    <w:rsid w:val="00F23470"/>
    <w:rsid w:val="00F25C06"/>
    <w:rsid w:val="00F3055C"/>
    <w:rsid w:val="00F32DC4"/>
    <w:rsid w:val="00F34B5C"/>
    <w:rsid w:val="00F36BBF"/>
    <w:rsid w:val="00F44FA9"/>
    <w:rsid w:val="00F457AA"/>
    <w:rsid w:val="00F471D3"/>
    <w:rsid w:val="00F54D5B"/>
    <w:rsid w:val="00F57FB7"/>
    <w:rsid w:val="00F66F51"/>
    <w:rsid w:val="00F705B2"/>
    <w:rsid w:val="00F70D2D"/>
    <w:rsid w:val="00F71079"/>
    <w:rsid w:val="00F71BD6"/>
    <w:rsid w:val="00F72067"/>
    <w:rsid w:val="00F808DF"/>
    <w:rsid w:val="00F84121"/>
    <w:rsid w:val="00F8424C"/>
    <w:rsid w:val="00F87662"/>
    <w:rsid w:val="00F92D41"/>
    <w:rsid w:val="00F94B4C"/>
    <w:rsid w:val="00F95B68"/>
    <w:rsid w:val="00F96C29"/>
    <w:rsid w:val="00FA02F6"/>
    <w:rsid w:val="00FA05C9"/>
    <w:rsid w:val="00FA161B"/>
    <w:rsid w:val="00FA38D2"/>
    <w:rsid w:val="00FB2F8E"/>
    <w:rsid w:val="00FB6354"/>
    <w:rsid w:val="00FB65A3"/>
    <w:rsid w:val="00FC23AA"/>
    <w:rsid w:val="00FD20F7"/>
    <w:rsid w:val="00FD5BE0"/>
    <w:rsid w:val="00FD7FFB"/>
    <w:rsid w:val="00FE03AB"/>
    <w:rsid w:val="00FE6C8A"/>
    <w:rsid w:val="00FE77DE"/>
    <w:rsid w:val="00FF0D3A"/>
    <w:rsid w:val="00FF4C30"/>
    <w:rsid w:val="00FF613F"/>
    <w:rsid w:val="00FF6AFE"/>
    <w:rsid w:val="00FF78EE"/>
    <w:rsid w:val="479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37838"/>
    <w:rPr>
      <w:kern w:val="0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37838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A3783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A37838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A3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A37838"/>
    <w:rPr>
      <w:rFonts w:cs="Times New Roman"/>
      <w:kern w:val="2"/>
      <w:sz w:val="18"/>
    </w:rPr>
  </w:style>
  <w:style w:type="paragraph" w:styleId="a6">
    <w:name w:val="Normal (Web)"/>
    <w:basedOn w:val="a"/>
    <w:uiPriority w:val="99"/>
    <w:rsid w:val="00A37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uiPriority w:val="99"/>
    <w:rsid w:val="00A37838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37838"/>
    <w:rPr>
      <w:kern w:val="0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37838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A3783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A37838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A3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A37838"/>
    <w:rPr>
      <w:rFonts w:cs="Times New Roman"/>
      <w:kern w:val="2"/>
      <w:sz w:val="18"/>
    </w:rPr>
  </w:style>
  <w:style w:type="paragraph" w:styleId="a6">
    <w:name w:val="Normal (Web)"/>
    <w:basedOn w:val="a"/>
    <w:uiPriority w:val="99"/>
    <w:rsid w:val="00A37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uiPriority w:val="99"/>
    <w:rsid w:val="00A37838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1385</Words>
  <Characters>7895</Characters>
  <Application>Microsoft Office Word</Application>
  <DocSecurity>0</DocSecurity>
  <Lines>65</Lines>
  <Paragraphs>18</Paragraphs>
  <ScaleCrop>false</ScaleCrop>
  <Company>永嘉图新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永嘉县人民法院工作报告</dc:title>
  <dc:creator>郑财生</dc:creator>
  <cp:lastModifiedBy>Windows 用户</cp:lastModifiedBy>
  <cp:revision>6</cp:revision>
  <cp:lastPrinted>2017-02-10T00:35:00Z</cp:lastPrinted>
  <dcterms:created xsi:type="dcterms:W3CDTF">2017-02-09T09:06:00Z</dcterms:created>
  <dcterms:modified xsi:type="dcterms:W3CDTF">2017-02-10T06:48:00Z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